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0C5B2" w14:textId="3130EF34" w:rsidR="00B52148" w:rsidRDefault="00B52148" w:rsidP="00B52148">
      <w:pPr>
        <w:tabs>
          <w:tab w:val="right" w:pos="9900"/>
        </w:tabs>
        <w:kinsoku w:val="0"/>
        <w:overflowPunct w:val="0"/>
        <w:spacing w:after="0"/>
        <w:rPr>
          <w:rFonts w:ascii="Arial" w:hAnsi="Arial" w:cs="Arial"/>
          <w:b/>
          <w:bCs/>
          <w:lang w:val="en-US"/>
        </w:rPr>
      </w:pPr>
      <w:r>
        <w:rPr>
          <w:rFonts w:ascii="Arial" w:hAnsi="Arial" w:cs="Arial"/>
          <w:b/>
          <w:bCs/>
        </w:rPr>
        <w:t>3GPP TSG RAN WG1 Meeting #96</w:t>
      </w:r>
      <w:r w:rsidR="00D837D7">
        <w:rPr>
          <w:rFonts w:ascii="Arial" w:hAnsi="Arial" w:cs="Arial"/>
          <w:b/>
          <w:bCs/>
        </w:rPr>
        <w:t>b</w:t>
      </w:r>
      <w:r>
        <w:rPr>
          <w:rFonts w:ascii="Arial" w:hAnsi="Arial" w:cs="Arial"/>
          <w:b/>
          <w:bCs/>
        </w:rPr>
        <w:tab/>
        <w:t xml:space="preserve">                                                                          R1-</w:t>
      </w:r>
      <w:r w:rsidR="00BB76F8">
        <w:rPr>
          <w:rFonts w:ascii="Arial" w:hAnsi="Arial" w:cs="Arial"/>
          <w:b/>
          <w:bCs/>
        </w:rPr>
        <w:t>190</w:t>
      </w:r>
      <w:r w:rsidR="00394F9F">
        <w:rPr>
          <w:rFonts w:ascii="Arial" w:hAnsi="Arial" w:cs="Arial"/>
          <w:b/>
          <w:bCs/>
        </w:rPr>
        <w:t>5001</w:t>
      </w:r>
    </w:p>
    <w:p w14:paraId="448D200C" w14:textId="233142A1" w:rsidR="00B52148" w:rsidRDefault="00D837D7" w:rsidP="00B52148">
      <w:pPr>
        <w:tabs>
          <w:tab w:val="right" w:pos="9900"/>
        </w:tabs>
        <w:kinsoku w:val="0"/>
        <w:overflowPunct w:val="0"/>
        <w:spacing w:after="0"/>
        <w:rPr>
          <w:rFonts w:ascii="Arial" w:hAnsi="Arial" w:cs="Arial"/>
          <w:b/>
          <w:bCs/>
        </w:rPr>
      </w:pPr>
      <w:r>
        <w:rPr>
          <w:rFonts w:ascii="Arial" w:hAnsi="Arial" w:cs="Arial"/>
          <w:b/>
          <w:bCs/>
        </w:rPr>
        <w:t>Xi’an</w:t>
      </w:r>
      <w:r w:rsidR="00B52148">
        <w:rPr>
          <w:rFonts w:ascii="Arial" w:hAnsi="Arial" w:cs="Arial"/>
          <w:b/>
          <w:bCs/>
        </w:rPr>
        <w:t xml:space="preserve">, </w:t>
      </w:r>
      <w:r>
        <w:rPr>
          <w:rFonts w:ascii="Arial" w:hAnsi="Arial" w:cs="Arial"/>
          <w:b/>
          <w:bCs/>
        </w:rPr>
        <w:t>China</w:t>
      </w:r>
    </w:p>
    <w:p w14:paraId="751332CA" w14:textId="4C3F0ACE" w:rsidR="00B52148" w:rsidRDefault="00D837D7" w:rsidP="00B52148">
      <w:pPr>
        <w:tabs>
          <w:tab w:val="right" w:pos="9900"/>
        </w:tabs>
        <w:kinsoku w:val="0"/>
        <w:overflowPunct w:val="0"/>
        <w:spacing w:after="0"/>
        <w:rPr>
          <w:rFonts w:ascii="Arial" w:hAnsi="Arial" w:cs="Arial"/>
          <w:b/>
          <w:bCs/>
        </w:rPr>
      </w:pPr>
      <w:r>
        <w:rPr>
          <w:rFonts w:ascii="Arial" w:hAnsi="Arial" w:cs="Arial"/>
          <w:b/>
          <w:bCs/>
        </w:rPr>
        <w:t>April</w:t>
      </w:r>
      <w:r w:rsidR="00B52148">
        <w:rPr>
          <w:rFonts w:ascii="Arial" w:hAnsi="Arial" w:cs="Arial"/>
          <w:b/>
          <w:bCs/>
        </w:rPr>
        <w:t xml:space="preserve"> </w:t>
      </w:r>
      <w:r>
        <w:rPr>
          <w:rFonts w:ascii="Arial" w:hAnsi="Arial" w:cs="Arial"/>
          <w:b/>
          <w:bCs/>
        </w:rPr>
        <w:t>8</w:t>
      </w:r>
      <w:r w:rsidR="00B52148">
        <w:rPr>
          <w:rFonts w:ascii="Arial" w:hAnsi="Arial" w:cs="Arial"/>
          <w:b/>
          <w:bCs/>
          <w:vertAlign w:val="superscript"/>
        </w:rPr>
        <w:t>th</w:t>
      </w:r>
      <w:r w:rsidR="00B52148">
        <w:rPr>
          <w:rFonts w:ascii="Arial" w:hAnsi="Arial" w:cs="Arial"/>
          <w:b/>
          <w:bCs/>
        </w:rPr>
        <w:t xml:space="preserve"> –</w:t>
      </w:r>
      <w:r>
        <w:rPr>
          <w:rFonts w:ascii="Arial" w:hAnsi="Arial" w:cs="Arial"/>
          <w:b/>
          <w:bCs/>
        </w:rPr>
        <w:t xml:space="preserve"> </w:t>
      </w:r>
      <w:r w:rsidR="00B52148">
        <w:rPr>
          <w:rFonts w:ascii="Arial" w:hAnsi="Arial" w:cs="Arial"/>
          <w:b/>
          <w:bCs/>
        </w:rPr>
        <w:t>1</w:t>
      </w:r>
      <w:r>
        <w:rPr>
          <w:rFonts w:ascii="Arial" w:hAnsi="Arial" w:cs="Arial"/>
          <w:b/>
          <w:bCs/>
        </w:rPr>
        <w:t>2</w:t>
      </w:r>
      <w:r>
        <w:rPr>
          <w:rFonts w:ascii="Arial" w:hAnsi="Arial" w:cs="Arial"/>
          <w:b/>
          <w:bCs/>
          <w:vertAlign w:val="superscript"/>
        </w:rPr>
        <w:t>th</w:t>
      </w:r>
      <w:r w:rsidR="00B52148">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1"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103F37E2" w14:textId="7AE11C43" w:rsidR="00D96AF0" w:rsidRPr="005F5662" w:rsidRDefault="0029186E" w:rsidP="005F5662">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760D4D30" w14:textId="77777777" w:rsidR="00E6511D" w:rsidRDefault="00E6511D" w:rsidP="00E6511D">
      <w:pPr>
        <w:pStyle w:val="Heading1"/>
      </w:pPr>
      <w:r>
        <w:t>Previous Agreements</w:t>
      </w:r>
    </w:p>
    <w:p w14:paraId="6BEDFE81" w14:textId="4522CBE5" w:rsidR="0065394B" w:rsidRPr="009A35AA" w:rsidRDefault="00E63067" w:rsidP="009A35AA">
      <w:pPr>
        <w:pStyle w:val="LGTdoc"/>
        <w:spacing w:before="20" w:afterLines="0" w:line="240" w:lineRule="auto"/>
        <w:rPr>
          <w:szCs w:val="20"/>
        </w:rPr>
      </w:pPr>
      <w:r>
        <w:rPr>
          <w:sz w:val="20"/>
          <w:szCs w:val="20"/>
        </w:rPr>
        <w:t>T</w:t>
      </w:r>
      <w:r w:rsidR="0065394B" w:rsidRPr="009A35AA">
        <w:rPr>
          <w:sz w:val="20"/>
          <w:szCs w:val="20"/>
        </w:rPr>
        <w:t>he agreements thus far related to scheduling and HARQ operation</w:t>
      </w:r>
      <w:r>
        <w:rPr>
          <w:sz w:val="20"/>
          <w:szCs w:val="20"/>
        </w:rPr>
        <w:t xml:space="preserve"> are summarized below:</w:t>
      </w:r>
    </w:p>
    <w:p w14:paraId="3C125FA2" w14:textId="2B025DDA" w:rsidR="00733FC6" w:rsidRPr="00E6511D" w:rsidRDefault="00733FC6" w:rsidP="00733FC6">
      <w:pPr>
        <w:rPr>
          <w:b/>
        </w:rPr>
      </w:pPr>
      <w:r w:rsidRPr="00E6511D">
        <w:rPr>
          <w:b/>
        </w:rPr>
        <w:t>RAN1#9</w:t>
      </w:r>
      <w:r>
        <w:rPr>
          <w:b/>
        </w:rPr>
        <w:t>3</w:t>
      </w:r>
    </w:p>
    <w:p w14:paraId="77572F0F" w14:textId="43B3942F" w:rsidR="00E6511D" w:rsidRDefault="00E6511D" w:rsidP="00E6511D">
      <w:pPr>
        <w:rPr>
          <w:rFonts w:ascii="Times New Roman" w:hAnsi="Times New Roman"/>
          <w:color w:val="000000" w:themeColor="text1"/>
          <w:szCs w:val="22"/>
          <w:lang w:val="en-US" w:eastAsia="x-none"/>
        </w:rPr>
      </w:pPr>
      <w:r>
        <w:rPr>
          <w:color w:val="000000" w:themeColor="text1"/>
          <w:highlight w:val="green"/>
          <w:lang w:eastAsia="x-none"/>
        </w:rPr>
        <w:t>Agreement:</w:t>
      </w:r>
    </w:p>
    <w:p w14:paraId="66B53FC4"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lang w:eastAsia="zh-CN"/>
        </w:rPr>
      </w:pPr>
      <w:r>
        <w:rPr>
          <w:color w:val="000000" w:themeColor="text1"/>
        </w:rPr>
        <w:t>Transmission of HARQ A/N for the corresponding data in the same shared COT is identified as beneficial</w:t>
      </w:r>
    </w:p>
    <w:p w14:paraId="525C4301"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Strive to support transmitting all HARQ A/N for the corresponding data in the same shared COT, if possible, considering the current NR UE processing time required</w:t>
      </w:r>
    </w:p>
    <w:p w14:paraId="3883606B"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2316C7A8"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It is understood in some cases, the HARQ A/N </w:t>
      </w:r>
      <w:proofErr w:type="gramStart"/>
      <w:r>
        <w:rPr>
          <w:color w:val="000000" w:themeColor="text1"/>
        </w:rPr>
        <w:t>has to</w:t>
      </w:r>
      <w:proofErr w:type="gramEnd"/>
      <w:r>
        <w:rPr>
          <w:color w:val="000000" w:themeColor="text1"/>
        </w:rPr>
        <w:t xml:space="preserve"> be transmitted in a separate COT from the one the corresponding data was transmitted</w:t>
      </w:r>
    </w:p>
    <w:p w14:paraId="3BF64941" w14:textId="77777777" w:rsidR="00E6511D" w:rsidRDefault="00E6511D" w:rsidP="00E6511D">
      <w:pPr>
        <w:pStyle w:val="ListParagraph"/>
        <w:numPr>
          <w:ilvl w:val="2"/>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Mechanisms to support this need to be identified</w:t>
      </w:r>
    </w:p>
    <w:p w14:paraId="7265188E" w14:textId="3C68F1D5" w:rsidR="00E6511D" w:rsidRDefault="00E6511D" w:rsidP="00E6511D">
      <w:pPr>
        <w:rPr>
          <w:color w:val="000000" w:themeColor="text1"/>
          <w:highlight w:val="cyan"/>
        </w:rPr>
      </w:pPr>
      <w:r>
        <w:rPr>
          <w:color w:val="000000" w:themeColor="text1"/>
          <w:highlight w:val="green"/>
        </w:rPr>
        <w:t>Agreement:</w:t>
      </w:r>
    </w:p>
    <w:p w14:paraId="2B6BE68A"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Techniques to handle reduced HARQ A/N transmission opportunities for a given HARQ process due to LBT failure are identified as beneficial</w:t>
      </w:r>
    </w:p>
    <w:p w14:paraId="657805C9" w14:textId="77777777" w:rsidR="00E6511D" w:rsidRDefault="00E6511D" w:rsidP="00E6511D">
      <w:pPr>
        <w:pStyle w:val="ListParagraph"/>
        <w:numPr>
          <w:ilvl w:val="1"/>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Potential techniques include mechanisms to provide multiple and/or supplemental time and/or frequency domain transmission opportunities</w:t>
      </w:r>
    </w:p>
    <w:p w14:paraId="4882DF10" w14:textId="77777777" w:rsidR="00E6511D" w:rsidRDefault="00E6511D" w:rsidP="00E6511D">
      <w:pPr>
        <w:adjustRightInd w:val="0"/>
        <w:snapToGrid w:val="0"/>
        <w:spacing w:after="0"/>
        <w:rPr>
          <w:color w:val="000000" w:themeColor="text1"/>
          <w:szCs w:val="20"/>
        </w:rPr>
      </w:pPr>
    </w:p>
    <w:p w14:paraId="5FB449FE" w14:textId="2112555E" w:rsidR="00E6511D" w:rsidRDefault="00E6511D" w:rsidP="00E6511D">
      <w:pPr>
        <w:rPr>
          <w:color w:val="000000" w:themeColor="text1"/>
          <w:szCs w:val="22"/>
        </w:rPr>
      </w:pPr>
      <w:r>
        <w:rPr>
          <w:color w:val="000000" w:themeColor="text1"/>
          <w:highlight w:val="green"/>
        </w:rPr>
        <w:t>Agreement:</w:t>
      </w:r>
    </w:p>
    <w:p w14:paraId="228785AB"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NR-U uses NR HARQ feedback mechanisms as baseline, and enhancements can be identified</w:t>
      </w:r>
    </w:p>
    <w:p w14:paraId="441FB648" w14:textId="77777777" w:rsidR="00E6511D" w:rsidRDefault="00E6511D" w:rsidP="00E6511D">
      <w:pPr>
        <w:pStyle w:val="ListParagraph"/>
        <w:numPr>
          <w:ilvl w:val="0"/>
          <w:numId w:val="57"/>
        </w:numPr>
        <w:overflowPunct w:val="0"/>
        <w:autoSpaceDE w:val="0"/>
        <w:autoSpaceDN w:val="0"/>
        <w:adjustRightInd w:val="0"/>
        <w:spacing w:after="180" w:line="240" w:lineRule="auto"/>
        <w:jc w:val="left"/>
        <w:textAlignment w:val="baseline"/>
        <w:rPr>
          <w:color w:val="000000" w:themeColor="text1"/>
        </w:rPr>
      </w:pPr>
      <w:r>
        <w:rPr>
          <w:color w:val="000000" w:themeColor="text1"/>
        </w:rPr>
        <w:t>When UL HARQ feedback is transmitted on unlicensed band, NR-U considers mechanisms to support flexible triggering and multiplexing of HARQ feedback for one or more DL HARQ processes</w:t>
      </w:r>
    </w:p>
    <w:p w14:paraId="0FA0B4BC" w14:textId="5761BA95" w:rsidR="00E6511D" w:rsidRDefault="00E6511D" w:rsidP="00E6511D">
      <w:pPr>
        <w:rPr>
          <w:rFonts w:ascii="Times New Roman" w:hAnsi="Times New Roman"/>
          <w:color w:val="000000" w:themeColor="text1"/>
          <w:szCs w:val="22"/>
          <w:lang w:val="en-US"/>
        </w:rPr>
      </w:pPr>
      <w:r>
        <w:rPr>
          <w:color w:val="000000" w:themeColor="text1"/>
          <w:highlight w:val="green"/>
        </w:rPr>
        <w:t>Agreement:</w:t>
      </w:r>
    </w:p>
    <w:p w14:paraId="23425C34"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Scheduling multiple TTIs for PUSCH each using a separate UL grant in the same PDCCH monitoring occasion is identified as beneficial </w:t>
      </w:r>
    </w:p>
    <w:p w14:paraId="43D7EA71" w14:textId="77777777" w:rsidR="00E6511D" w:rsidRDefault="00E6511D" w:rsidP="00E6511D">
      <w:pPr>
        <w:pStyle w:val="ListParagraph"/>
        <w:numPr>
          <w:ilvl w:val="0"/>
          <w:numId w:val="59"/>
        </w:numPr>
        <w:overflowPunct w:val="0"/>
        <w:autoSpaceDE w:val="0"/>
        <w:autoSpaceDN w:val="0"/>
        <w:adjustRightInd w:val="0"/>
        <w:spacing w:after="180" w:line="240" w:lineRule="auto"/>
        <w:jc w:val="left"/>
        <w:textAlignment w:val="baseline"/>
        <w:rPr>
          <w:color w:val="000000" w:themeColor="text1"/>
        </w:rPr>
      </w:pPr>
      <w:r>
        <w:rPr>
          <w:color w:val="000000" w:themeColor="text1"/>
        </w:rPr>
        <w:t>Scheduling multiple TTIs for PUSCH using a single UL grant is identified as beneficial and should be supported in NR-U</w:t>
      </w:r>
    </w:p>
    <w:p w14:paraId="1081EA8B" w14:textId="4097B309" w:rsidR="00733FC6" w:rsidRPr="00733FC6" w:rsidRDefault="00733FC6" w:rsidP="00733FC6">
      <w:pPr>
        <w:rPr>
          <w:b/>
        </w:rPr>
      </w:pPr>
      <w:r w:rsidRPr="00733FC6">
        <w:rPr>
          <w:b/>
        </w:rPr>
        <w:t>RAN1#9</w:t>
      </w:r>
      <w:r>
        <w:rPr>
          <w:b/>
        </w:rPr>
        <w:t>4</w:t>
      </w:r>
      <w:bookmarkStart w:id="2" w:name="_GoBack"/>
      <w:bookmarkEnd w:id="2"/>
    </w:p>
    <w:p w14:paraId="4D49C9B1" w14:textId="14D74173" w:rsidR="00E6511D" w:rsidRDefault="00C07BCC" w:rsidP="00E6511D">
      <w:pPr>
        <w:rPr>
          <w:lang w:eastAsia="x-none"/>
        </w:rPr>
      </w:pPr>
      <w:r>
        <w:rPr>
          <w:highlight w:val="green"/>
          <w:lang w:eastAsia="x-none"/>
        </w:rPr>
        <w:lastRenderedPageBreak/>
        <w:t>A</w:t>
      </w:r>
      <w:r w:rsidR="00E6511D">
        <w:rPr>
          <w:highlight w:val="green"/>
          <w:lang w:eastAsia="x-none"/>
        </w:rPr>
        <w:t>greement:</w:t>
      </w:r>
      <w:r w:rsidR="00E6511D">
        <w:rPr>
          <w:lang w:eastAsia="x-none"/>
        </w:rPr>
        <w:t xml:space="preserve"> </w:t>
      </w:r>
    </w:p>
    <w:p w14:paraId="22CB6092" w14:textId="77777777" w:rsidR="00E6511D" w:rsidRDefault="00E6511D" w:rsidP="00E6511D">
      <w:pPr>
        <w:numPr>
          <w:ilvl w:val="0"/>
          <w:numId w:val="58"/>
        </w:numPr>
        <w:spacing w:after="0"/>
        <w:ind w:left="1440"/>
        <w:jc w:val="left"/>
        <w:rPr>
          <w:lang w:eastAsia="x-none"/>
        </w:rPr>
      </w:pPr>
      <w:r>
        <w:rPr>
          <w:lang w:eastAsia="x-none"/>
        </w:rPr>
        <w:t>NR-U should support both:</w:t>
      </w:r>
    </w:p>
    <w:p w14:paraId="6F448FA3" w14:textId="77777777" w:rsidR="00E6511D" w:rsidRDefault="00E6511D" w:rsidP="00E6511D">
      <w:pPr>
        <w:numPr>
          <w:ilvl w:val="1"/>
          <w:numId w:val="58"/>
        </w:numPr>
        <w:spacing w:after="0"/>
        <w:ind w:left="2160"/>
        <w:jc w:val="left"/>
        <w:rPr>
          <w:lang w:eastAsia="x-none"/>
        </w:rPr>
      </w:pPr>
      <w:r>
        <w:rPr>
          <w:lang w:eastAsia="x-none"/>
        </w:rPr>
        <w:t>HARQ feedback corresponding to some or all the PDSCHs of a channel occupancy can be reported in the same channel occupancy</w:t>
      </w:r>
    </w:p>
    <w:p w14:paraId="34474ECF" w14:textId="77777777" w:rsidR="00E6511D" w:rsidRDefault="00E6511D" w:rsidP="00E6511D">
      <w:pPr>
        <w:numPr>
          <w:ilvl w:val="2"/>
          <w:numId w:val="58"/>
        </w:numPr>
        <w:spacing w:after="0"/>
        <w:ind w:left="2880"/>
        <w:jc w:val="left"/>
        <w:rPr>
          <w:lang w:eastAsia="x-none"/>
        </w:rPr>
      </w:pPr>
      <w:r>
        <w:rPr>
          <w:bCs/>
          <w:lang w:eastAsia="x-none"/>
        </w:rPr>
        <w:t>It is found beneficial to extend the PDSCH-to-HARQ-timing to support indicating timings up to the end of the longest COT allowed by regulations, one or more of the following would be needed:</w:t>
      </w:r>
    </w:p>
    <w:p w14:paraId="2EA738F0" w14:textId="77777777" w:rsidR="00E6511D" w:rsidRDefault="00E6511D" w:rsidP="00E6511D">
      <w:pPr>
        <w:numPr>
          <w:ilvl w:val="3"/>
          <w:numId w:val="58"/>
        </w:numPr>
        <w:spacing w:after="0"/>
        <w:ind w:left="3600"/>
        <w:jc w:val="left"/>
        <w:rPr>
          <w:lang w:eastAsia="x-none"/>
        </w:rPr>
      </w:pPr>
      <w:r>
        <w:rPr>
          <w:bCs/>
          <w:lang w:eastAsia="x-none"/>
        </w:rPr>
        <w:t xml:space="preserve">Allow values larger than 15 by RRC </w:t>
      </w:r>
      <w:proofErr w:type="spellStart"/>
      <w:r>
        <w:rPr>
          <w:bCs/>
          <w:lang w:eastAsia="x-none"/>
        </w:rPr>
        <w:t>signaling</w:t>
      </w:r>
      <w:proofErr w:type="spellEnd"/>
      <w:r>
        <w:rPr>
          <w:bCs/>
          <w:lang w:eastAsia="x-none"/>
        </w:rPr>
        <w:t xml:space="preserve"> (FFS the largest value needed)</w:t>
      </w:r>
    </w:p>
    <w:p w14:paraId="60400B94" w14:textId="77777777" w:rsidR="00E6511D" w:rsidRDefault="00E6511D" w:rsidP="00E6511D">
      <w:pPr>
        <w:numPr>
          <w:ilvl w:val="4"/>
          <w:numId w:val="58"/>
        </w:numPr>
        <w:spacing w:after="0"/>
        <w:jc w:val="left"/>
        <w:rPr>
          <w:lang w:eastAsia="x-none"/>
        </w:rPr>
      </w:pPr>
      <w:r>
        <w:rPr>
          <w:bCs/>
          <w:lang w:eastAsia="x-none"/>
        </w:rPr>
        <w:t xml:space="preserve">Note: in some </w:t>
      </w:r>
      <w:proofErr w:type="gramStart"/>
      <w:r>
        <w:rPr>
          <w:bCs/>
          <w:lang w:eastAsia="x-none"/>
        </w:rPr>
        <w:t>cases</w:t>
      </w:r>
      <w:proofErr w:type="gramEnd"/>
      <w:r>
        <w:rPr>
          <w:bCs/>
          <w:lang w:eastAsia="x-none"/>
        </w:rPr>
        <w:t xml:space="preserve"> this may point outside of the COT</w:t>
      </w:r>
    </w:p>
    <w:p w14:paraId="1409160B" w14:textId="77777777" w:rsidR="00E6511D" w:rsidRDefault="00E6511D" w:rsidP="00E6511D">
      <w:pPr>
        <w:numPr>
          <w:ilvl w:val="3"/>
          <w:numId w:val="58"/>
        </w:numPr>
        <w:spacing w:after="0"/>
        <w:ind w:left="3600"/>
        <w:jc w:val="left"/>
        <w:rPr>
          <w:lang w:eastAsia="x-none"/>
        </w:rPr>
      </w:pPr>
      <w:r>
        <w:rPr>
          <w:bCs/>
          <w:lang w:eastAsia="x-none"/>
        </w:rPr>
        <w:t>Allow more bits for the PDSCH-to-HARQ-timing-indicator</w:t>
      </w:r>
    </w:p>
    <w:p w14:paraId="3B9F5F57" w14:textId="77777777" w:rsidR="00E6511D" w:rsidRDefault="00E6511D" w:rsidP="00E6511D">
      <w:pPr>
        <w:numPr>
          <w:ilvl w:val="1"/>
          <w:numId w:val="58"/>
        </w:numPr>
        <w:spacing w:after="0"/>
        <w:ind w:left="2160"/>
        <w:jc w:val="left"/>
        <w:rPr>
          <w:lang w:eastAsia="x-none"/>
        </w:rPr>
      </w:pPr>
      <w:r>
        <w:rPr>
          <w:lang w:eastAsia="x-none"/>
        </w:rPr>
        <w:t>HARQ feedback corresponding to PDSCHs of a channel occupancy can be reported outside of that channel occupancy. These possible candidate solutions can be considered:</w:t>
      </w:r>
    </w:p>
    <w:p w14:paraId="6C19610C" w14:textId="77777777" w:rsidR="00E6511D" w:rsidRDefault="00E6511D" w:rsidP="00E6511D">
      <w:pPr>
        <w:numPr>
          <w:ilvl w:val="2"/>
          <w:numId w:val="58"/>
        </w:numPr>
        <w:spacing w:after="0"/>
        <w:ind w:left="2880"/>
        <w:jc w:val="left"/>
        <w:rPr>
          <w:lang w:eastAsia="x-none"/>
        </w:rPr>
      </w:pPr>
      <w:r>
        <w:rPr>
          <w:lang w:eastAsia="x-none"/>
        </w:rPr>
        <w:t>Alt1: gNB requests/triggers feedback for PDSCH from earlier COT(s)</w:t>
      </w:r>
    </w:p>
    <w:p w14:paraId="24ACFE66" w14:textId="77777777" w:rsidR="00E6511D" w:rsidRDefault="00E6511D" w:rsidP="00E6511D">
      <w:pPr>
        <w:numPr>
          <w:ilvl w:val="2"/>
          <w:numId w:val="58"/>
        </w:numPr>
        <w:spacing w:after="0"/>
        <w:ind w:left="2880"/>
        <w:jc w:val="left"/>
        <w:rPr>
          <w:lang w:eastAsia="x-none"/>
        </w:rPr>
      </w:pPr>
      <w:r>
        <w:rPr>
          <w:lang w:eastAsia="x-none"/>
        </w:rPr>
        <w:t>Alt2: UE is configured to report HARQ feedback for PDSCH from earlier COT(s) without an explicit request/trigger</w:t>
      </w:r>
    </w:p>
    <w:p w14:paraId="1BA85E68" w14:textId="77777777" w:rsidR="00E6511D" w:rsidRDefault="00E6511D" w:rsidP="00E6511D">
      <w:pPr>
        <w:numPr>
          <w:ilvl w:val="2"/>
          <w:numId w:val="58"/>
        </w:numPr>
        <w:spacing w:after="0"/>
        <w:ind w:left="2880"/>
        <w:jc w:val="left"/>
        <w:rPr>
          <w:lang w:eastAsia="x-none"/>
        </w:rPr>
      </w:pPr>
      <w:r>
        <w:rPr>
          <w:lang w:eastAsia="x-none"/>
        </w:rPr>
        <w:t xml:space="preserve">Alt3: by </w:t>
      </w:r>
      <w:r>
        <w:rPr>
          <w:bCs/>
          <w:lang w:eastAsia="x-none"/>
        </w:rPr>
        <w:t>PDSCH-to-HARQ-timing-indicator in the DCI scheduling the PDSCH</w:t>
      </w:r>
    </w:p>
    <w:p w14:paraId="253A7CF9" w14:textId="77777777" w:rsidR="00E6511D" w:rsidRDefault="00E6511D" w:rsidP="00E6511D">
      <w:pPr>
        <w:numPr>
          <w:ilvl w:val="2"/>
          <w:numId w:val="58"/>
        </w:numPr>
        <w:spacing w:after="0"/>
        <w:ind w:left="2880"/>
        <w:jc w:val="left"/>
        <w:rPr>
          <w:lang w:eastAsia="x-none"/>
        </w:rPr>
      </w:pPr>
      <w:r>
        <w:rPr>
          <w:bCs/>
          <w:lang w:eastAsia="x-none"/>
        </w:rPr>
        <w:t>Note: the alternatives above are at least applicable for the case where there is no HARQ feedback expected in the same channel occupancy as the PDSCH</w:t>
      </w:r>
    </w:p>
    <w:p w14:paraId="4FD910FB" w14:textId="77777777" w:rsidR="00E6511D" w:rsidRDefault="00E6511D" w:rsidP="00E6511D">
      <w:pPr>
        <w:numPr>
          <w:ilvl w:val="2"/>
          <w:numId w:val="58"/>
        </w:numPr>
        <w:spacing w:after="0"/>
        <w:ind w:left="2880"/>
        <w:jc w:val="left"/>
        <w:rPr>
          <w:lang w:eastAsia="x-none"/>
        </w:rPr>
      </w:pPr>
      <w:r>
        <w:rPr>
          <w:bCs/>
          <w:lang w:eastAsia="x-none"/>
        </w:rPr>
        <w:t>Study the impact of the above candidate solutions on the HARQ codebook</w:t>
      </w:r>
    </w:p>
    <w:p w14:paraId="556D53AF" w14:textId="7E0D6CF7" w:rsidR="00E6511D" w:rsidRDefault="00E6511D" w:rsidP="00E6511D">
      <w:pPr>
        <w:rPr>
          <w:highlight w:val="green"/>
          <w:lang w:eastAsia="x-none"/>
        </w:rPr>
      </w:pPr>
    </w:p>
    <w:p w14:paraId="5DDFC7E6" w14:textId="6D04A05D" w:rsidR="00733FC6" w:rsidRPr="00733FC6" w:rsidRDefault="00733FC6" w:rsidP="00733FC6">
      <w:pPr>
        <w:rPr>
          <w:b/>
        </w:rPr>
      </w:pPr>
      <w:r w:rsidRPr="00733FC6">
        <w:rPr>
          <w:b/>
        </w:rPr>
        <w:t>RAN1#9</w:t>
      </w:r>
      <w:r>
        <w:rPr>
          <w:b/>
        </w:rPr>
        <w:t>4b</w:t>
      </w:r>
    </w:p>
    <w:p w14:paraId="5E304CFE" w14:textId="1C6292C6" w:rsidR="00E6511D" w:rsidRDefault="00C07BCC" w:rsidP="00E6511D">
      <w:pPr>
        <w:rPr>
          <w:lang w:eastAsia="x-none"/>
        </w:rPr>
      </w:pPr>
      <w:r>
        <w:rPr>
          <w:highlight w:val="green"/>
          <w:lang w:eastAsia="x-none"/>
        </w:rPr>
        <w:t>A</w:t>
      </w:r>
      <w:r w:rsidR="00E6511D">
        <w:rPr>
          <w:highlight w:val="green"/>
          <w:lang w:eastAsia="x-none"/>
        </w:rPr>
        <w:t>greement:</w:t>
      </w:r>
      <w:r w:rsidR="00E6511D">
        <w:rPr>
          <w:lang w:eastAsia="x-none"/>
        </w:rPr>
        <w:t xml:space="preserve"> </w:t>
      </w:r>
    </w:p>
    <w:p w14:paraId="7E06A61A" w14:textId="77777777" w:rsidR="00E6511D" w:rsidRDefault="00E6511D" w:rsidP="00E6511D">
      <w:pPr>
        <w:pStyle w:val="ListParagraph"/>
        <w:adjustRightInd w:val="0"/>
        <w:snapToGrid w:val="0"/>
        <w:ind w:left="0"/>
        <w:rPr>
          <w:rFonts w:eastAsia="Times New Roman"/>
          <w:bCs/>
          <w:color w:val="000000"/>
          <w:kern w:val="2"/>
          <w:lang w:eastAsia="zh-CN"/>
        </w:rPr>
      </w:pPr>
      <w:r>
        <w:t>A gap of up to 16 us should be allowed between the end of the DL transmission and the immediate transmission of feedback to accommodate for the hardware turnaround time</w:t>
      </w:r>
    </w:p>
    <w:p w14:paraId="2A0CE208" w14:textId="77777777" w:rsidR="00E6511D" w:rsidRPr="00E6511D" w:rsidRDefault="00E6511D" w:rsidP="00E6511D">
      <w:pPr>
        <w:rPr>
          <w:b/>
        </w:rPr>
      </w:pPr>
      <w:r w:rsidRPr="00E6511D">
        <w:rPr>
          <w:b/>
        </w:rPr>
        <w:t>RAN1#95</w:t>
      </w:r>
    </w:p>
    <w:p w14:paraId="4B48289E"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2A4B1BD4" w14:textId="77777777" w:rsidR="00E6511D" w:rsidRPr="003411CE" w:rsidRDefault="00E6511D" w:rsidP="00E6511D">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62BC0A66" w14:textId="77777777" w:rsidR="00E6511D" w:rsidRPr="003411CE" w:rsidRDefault="00E6511D" w:rsidP="00E6511D">
      <w:pPr>
        <w:rPr>
          <w:lang w:val="en-US" w:eastAsia="x-none"/>
        </w:rPr>
      </w:pPr>
      <w:r w:rsidRPr="003411CE">
        <w:rPr>
          <w:highlight w:val="green"/>
          <w:lang w:val="en-US" w:eastAsia="x-none"/>
        </w:rPr>
        <w:t>Agreement</w:t>
      </w:r>
      <w:r w:rsidRPr="003411CE">
        <w:rPr>
          <w:rFonts w:hint="eastAsia"/>
          <w:highlight w:val="green"/>
          <w:lang w:val="en-US" w:eastAsia="x-none"/>
        </w:rPr>
        <w:t>:</w:t>
      </w:r>
    </w:p>
    <w:p w14:paraId="62E7D1DB" w14:textId="77777777" w:rsidR="00E6511D" w:rsidRPr="003411CE" w:rsidRDefault="00E6511D" w:rsidP="00E6511D">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726AA07D" w14:textId="77777777" w:rsidR="00E6511D" w:rsidRPr="00B809DD" w:rsidRDefault="00E6511D" w:rsidP="00E6511D">
      <w:pPr>
        <w:pStyle w:val="ListParagraph"/>
        <w:numPr>
          <w:ilvl w:val="0"/>
          <w:numId w:val="56"/>
        </w:numPr>
        <w:overflowPunct w:val="0"/>
        <w:autoSpaceDE w:val="0"/>
        <w:autoSpaceDN w:val="0"/>
        <w:adjustRightInd w:val="0"/>
        <w:spacing w:after="180" w:line="240" w:lineRule="auto"/>
        <w:jc w:val="left"/>
        <w:textAlignment w:val="baseline"/>
        <w:rPr>
          <w:lang w:val="en-US"/>
        </w:rPr>
      </w:pPr>
      <w:r w:rsidRPr="00B809DD">
        <w:rPr>
          <w:lang w:val="en-US"/>
        </w:rPr>
        <w:t>Potential enhancements for such type of operation, e.g. by possibly pre-configured or pre-determined uplink transmissions for reducing signaling overhead for these transmissions, may be beneficial.</w:t>
      </w:r>
    </w:p>
    <w:p w14:paraId="15D82F4E" w14:textId="77777777" w:rsidR="00E6511D" w:rsidRDefault="00E6511D" w:rsidP="00E6511D">
      <w:pPr>
        <w:rPr>
          <w:lang w:eastAsia="x-none"/>
        </w:rPr>
      </w:pPr>
      <w:r w:rsidRPr="000C436F">
        <w:rPr>
          <w:highlight w:val="green"/>
          <w:lang w:eastAsia="x-none"/>
        </w:rPr>
        <w:t>Agreement:</w:t>
      </w:r>
    </w:p>
    <w:p w14:paraId="219B7B4F" w14:textId="77777777" w:rsidR="00E6511D" w:rsidRPr="000C436F" w:rsidRDefault="00E6511D" w:rsidP="00E6511D">
      <w:pPr>
        <w:rPr>
          <w:lang w:val="en-US" w:eastAsia="x-none"/>
        </w:rPr>
      </w:pPr>
      <w:r w:rsidRPr="000C436F">
        <w:rPr>
          <w:lang w:val="en-US" w:eastAsia="x-none"/>
        </w:rPr>
        <w:t>Capture the table below in the TR for describing the potential solutions to allow cross-COT HARQ-ACK feedback and multiple opportunities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E6511D" w:rsidRPr="00BC4347" w14:paraId="2EE161F4" w14:textId="77777777" w:rsidTr="005A44B7">
        <w:tc>
          <w:tcPr>
            <w:tcW w:w="3069" w:type="dxa"/>
            <w:tcBorders>
              <w:bottom w:val="single" w:sz="12" w:space="0" w:color="8EAADB"/>
            </w:tcBorders>
            <w:shd w:val="clear" w:color="auto" w:fill="auto"/>
          </w:tcPr>
          <w:p w14:paraId="0D4D37A1" w14:textId="77777777" w:rsidR="00E6511D" w:rsidRPr="00BC4347" w:rsidRDefault="00E6511D" w:rsidP="005A44B7">
            <w:pPr>
              <w:pStyle w:val="TAH"/>
              <w:rPr>
                <w:lang w:val="en-US"/>
              </w:rPr>
            </w:pPr>
          </w:p>
        </w:tc>
        <w:tc>
          <w:tcPr>
            <w:tcW w:w="3070" w:type="dxa"/>
            <w:tcBorders>
              <w:bottom w:val="single" w:sz="12" w:space="0" w:color="8EAADB"/>
            </w:tcBorders>
            <w:shd w:val="clear" w:color="auto" w:fill="auto"/>
          </w:tcPr>
          <w:p w14:paraId="665BD9D4" w14:textId="77777777" w:rsidR="00E6511D" w:rsidRPr="00BC4347" w:rsidRDefault="00E6511D" w:rsidP="005A44B7">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6CC078A6" w14:textId="77777777" w:rsidR="00E6511D" w:rsidRPr="00BC4347" w:rsidRDefault="00E6511D" w:rsidP="005A44B7">
            <w:pPr>
              <w:pStyle w:val="TAH"/>
              <w:rPr>
                <w:lang w:val="en-US"/>
              </w:rPr>
            </w:pPr>
            <w:r w:rsidRPr="00BC4347">
              <w:rPr>
                <w:rFonts w:hint="eastAsia"/>
                <w:lang w:val="en-US"/>
              </w:rPr>
              <w:t xml:space="preserve">Multiple opportunities for </w:t>
            </w:r>
            <w:r w:rsidRPr="00BC4347">
              <w:rPr>
                <w:lang w:val="en-US"/>
              </w:rPr>
              <w:t>HARQ-ACK feedback</w:t>
            </w:r>
          </w:p>
        </w:tc>
      </w:tr>
      <w:tr w:rsidR="00E6511D" w:rsidRPr="00B809DD" w14:paraId="2FF90142" w14:textId="77777777" w:rsidTr="005A44B7">
        <w:trPr>
          <w:trHeight w:val="1575"/>
        </w:trPr>
        <w:tc>
          <w:tcPr>
            <w:tcW w:w="3069" w:type="dxa"/>
            <w:shd w:val="clear" w:color="auto" w:fill="D9E2F3"/>
          </w:tcPr>
          <w:p w14:paraId="1777ABFA"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gNB requests/</w:t>
            </w:r>
            <w:bookmarkStart w:id="3" w:name="_Hlk4083688"/>
            <w:r w:rsidRPr="00B809DD">
              <w:rPr>
                <w:rFonts w:ascii="Arial" w:hAnsi="Arial" w:cs="Arial"/>
                <w:color w:val="2F5496"/>
                <w:sz w:val="18"/>
                <w:szCs w:val="18"/>
                <w:lang w:val="en-US" w:eastAsia="x-none"/>
              </w:rPr>
              <w:t>triggers feedback for PDSCH from earlier COT(s) or additional reporting of earlier HARQ feedback</w:t>
            </w:r>
            <w:bookmarkEnd w:id="3"/>
            <w:r w:rsidRPr="00B809DD">
              <w:rPr>
                <w:rFonts w:ascii="Arial" w:hAnsi="Arial" w:cs="Arial"/>
                <w:color w:val="2F5496"/>
                <w:sz w:val="18"/>
                <w:szCs w:val="18"/>
                <w:lang w:val="en-US" w:eastAsia="x-none"/>
              </w:rPr>
              <w:t xml:space="preserve">,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650D639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4DB2ACE3" w14:textId="77777777" w:rsidR="00E6511D" w:rsidRPr="00B809DD" w:rsidRDefault="00E6511D" w:rsidP="005A44B7">
            <w:pPr>
              <w:rPr>
                <w:rFonts w:ascii="Arial" w:hAnsi="Arial" w:cs="Arial"/>
                <w:color w:val="2F5496"/>
                <w:sz w:val="18"/>
                <w:szCs w:val="18"/>
                <w:lang w:val="en-US" w:eastAsia="x-none"/>
              </w:rPr>
            </w:pPr>
          </w:p>
          <w:p w14:paraId="5A9F652B"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E6511D" w:rsidRPr="00B809DD" w14:paraId="3B9C66F5" w14:textId="77777777" w:rsidTr="005A44B7">
        <w:trPr>
          <w:trHeight w:val="984"/>
        </w:trPr>
        <w:tc>
          <w:tcPr>
            <w:tcW w:w="3069" w:type="dxa"/>
            <w:shd w:val="clear" w:color="auto" w:fill="auto"/>
          </w:tcPr>
          <w:p w14:paraId="7EB20442"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0E5A5C87"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E6511D" w:rsidRPr="00B809DD" w14:paraId="0AD43F68" w14:textId="77777777" w:rsidTr="005A44B7">
        <w:trPr>
          <w:trHeight w:val="1400"/>
        </w:trPr>
        <w:tc>
          <w:tcPr>
            <w:tcW w:w="3069" w:type="dxa"/>
            <w:shd w:val="clear" w:color="auto" w:fill="D9E2F3"/>
          </w:tcPr>
          <w:p w14:paraId="7A269C84" w14:textId="77777777" w:rsidR="00E6511D" w:rsidRPr="00B809DD" w:rsidRDefault="00E6511D" w:rsidP="005A44B7">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lastRenderedPageBreak/>
              <w:t>Alt3</w:t>
            </w:r>
            <w:r w:rsidRPr="00B809DD">
              <w:rPr>
                <w:rFonts w:ascii="Arial" w:hAnsi="Arial" w:cs="Arial"/>
                <w:color w:val="2F5496"/>
                <w:sz w:val="18"/>
                <w:szCs w:val="18"/>
                <w:lang w:val="en-US" w:eastAsia="x-none"/>
              </w:rPr>
              <w:t xml:space="preserve">: gNB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364F7A27"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220DE9E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E6511D" w:rsidRPr="00B809DD" w14:paraId="7FA02F69" w14:textId="77777777" w:rsidTr="005A44B7">
        <w:trPr>
          <w:trHeight w:val="1118"/>
        </w:trPr>
        <w:tc>
          <w:tcPr>
            <w:tcW w:w="3069" w:type="dxa"/>
            <w:shd w:val="clear" w:color="auto" w:fill="auto"/>
          </w:tcPr>
          <w:p w14:paraId="0B913A7F"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Alt4</w:t>
            </w:r>
            <w:r w:rsidRPr="00B809DD">
              <w:rPr>
                <w:rFonts w:ascii="Arial" w:hAnsi="Arial" w:cs="Arial"/>
                <w:color w:val="2F5496"/>
                <w:sz w:val="18"/>
                <w:szCs w:val="18"/>
                <w:lang w:val="en-US" w:eastAsia="x-none"/>
              </w:rPr>
              <w:t xml:space="preserve">: preconfigured/pre-indicated multiple opportunities in frequency domain in different LBT </w:t>
            </w:r>
            <w:proofErr w:type="spellStart"/>
            <w:r w:rsidRPr="00B809DD">
              <w:rPr>
                <w:rFonts w:ascii="Arial" w:hAnsi="Arial" w:cs="Arial"/>
                <w:color w:val="2F5496"/>
                <w:sz w:val="18"/>
                <w:szCs w:val="18"/>
                <w:lang w:val="en-US" w:eastAsia="x-none"/>
              </w:rPr>
              <w:t>subbands</w:t>
            </w:r>
            <w:proofErr w:type="spellEnd"/>
          </w:p>
        </w:tc>
        <w:tc>
          <w:tcPr>
            <w:tcW w:w="3070" w:type="dxa"/>
            <w:shd w:val="clear" w:color="auto" w:fill="auto"/>
          </w:tcPr>
          <w:p w14:paraId="5D7DD913"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3FFD9DEC"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E6511D" w:rsidRPr="00B809DD" w14:paraId="7460BABF" w14:textId="77777777" w:rsidTr="005A44B7">
        <w:tc>
          <w:tcPr>
            <w:tcW w:w="3069" w:type="dxa"/>
            <w:shd w:val="clear" w:color="auto" w:fill="D9E2F3"/>
          </w:tcPr>
          <w:p w14:paraId="3F47D6B1"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42040E68"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0A977E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7069EE19" w14:textId="77777777" w:rsidR="00E6511D" w:rsidRPr="00B809DD" w:rsidRDefault="00E6511D" w:rsidP="005A44B7">
            <w:pPr>
              <w:rPr>
                <w:rFonts w:ascii="Arial" w:hAnsi="Arial" w:cs="Arial"/>
                <w:color w:val="2F5496"/>
                <w:sz w:val="18"/>
                <w:szCs w:val="18"/>
                <w:lang w:val="en-US" w:eastAsia="x-none"/>
              </w:rPr>
            </w:pPr>
          </w:p>
          <w:p w14:paraId="2AE027B9" w14:textId="77777777" w:rsidR="00E6511D" w:rsidRPr="00B809DD" w:rsidRDefault="00E6511D" w:rsidP="005A44B7">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535648A7" w14:textId="77777777" w:rsidR="00E6511D" w:rsidRPr="00D11BC7" w:rsidRDefault="00E6511D" w:rsidP="00E6511D">
      <w:pPr>
        <w:rPr>
          <w:highlight w:val="green"/>
          <w:lang w:eastAsia="x-none"/>
        </w:rPr>
      </w:pPr>
      <w:r w:rsidRPr="00D11BC7">
        <w:rPr>
          <w:highlight w:val="green"/>
          <w:lang w:eastAsia="x-none"/>
        </w:rPr>
        <w:t>Agreement:</w:t>
      </w:r>
    </w:p>
    <w:p w14:paraId="302E1A0B" w14:textId="77777777" w:rsidR="00E6511D" w:rsidRDefault="00E6511D" w:rsidP="00E6511D">
      <w:pPr>
        <w:rPr>
          <w:lang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559BFF5C" w14:textId="77777777" w:rsidR="00E6511D" w:rsidRDefault="00E6511D" w:rsidP="00E6511D">
      <w:pPr>
        <w:rPr>
          <w:lang w:val="en-US" w:eastAsia="x-none"/>
        </w:rPr>
      </w:pPr>
      <w:r w:rsidRPr="00C55263">
        <w:rPr>
          <w:highlight w:val="green"/>
          <w:lang w:val="en-US" w:eastAsia="x-none"/>
        </w:rPr>
        <w:t>Agreement:</w:t>
      </w:r>
    </w:p>
    <w:p w14:paraId="5CA045A9" w14:textId="77777777" w:rsidR="00E6511D" w:rsidRPr="00D11BC7" w:rsidRDefault="00E6511D" w:rsidP="00E6511D">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2C54DF5B" w14:textId="77777777" w:rsidR="00E6511D" w:rsidRDefault="00E6511D" w:rsidP="00E6511D">
      <w:pPr>
        <w:rPr>
          <w:lang w:val="en-US" w:eastAsia="x-none"/>
        </w:rPr>
      </w:pPr>
      <w:r w:rsidRPr="00C31253">
        <w:rPr>
          <w:highlight w:val="green"/>
          <w:lang w:val="en-US" w:eastAsia="x-none"/>
        </w:rPr>
        <w:t>Agreement:</w:t>
      </w:r>
    </w:p>
    <w:p w14:paraId="4F097149" w14:textId="77777777" w:rsidR="00E6511D" w:rsidRDefault="00E6511D" w:rsidP="00E6511D">
      <w:pPr>
        <w:rPr>
          <w:lang w:val="en-US" w:eastAsia="x-none"/>
        </w:rPr>
      </w:pPr>
      <w:r>
        <w:rPr>
          <w:lang w:val="en-US" w:eastAsia="x-none"/>
        </w:rPr>
        <w:t>Capture the following in the TR:</w:t>
      </w:r>
    </w:p>
    <w:p w14:paraId="384BE572" w14:textId="77777777" w:rsidR="00E6511D" w:rsidRDefault="00E6511D" w:rsidP="00E6511D">
      <w:pPr>
        <w:numPr>
          <w:ilvl w:val="0"/>
          <w:numId w:val="55"/>
        </w:numPr>
        <w:spacing w:after="0"/>
        <w:jc w:val="left"/>
        <w:rPr>
          <w:bCs/>
          <w:lang w:eastAsia="x-none"/>
        </w:rPr>
      </w:pPr>
      <w:bookmarkStart w:id="4"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52AE1DC8" w14:textId="77777777" w:rsidR="00E6511D" w:rsidRPr="007A055B" w:rsidRDefault="00E6511D" w:rsidP="00E6511D">
      <w:pPr>
        <w:numPr>
          <w:ilvl w:val="0"/>
          <w:numId w:val="55"/>
        </w:numPr>
        <w:spacing w:after="0"/>
        <w:jc w:val="left"/>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7CB9538D" w14:textId="77777777" w:rsidR="00E6511D" w:rsidRPr="00C270BF" w:rsidRDefault="00E6511D" w:rsidP="00E6511D">
      <w:pPr>
        <w:numPr>
          <w:ilvl w:val="0"/>
          <w:numId w:val="55"/>
        </w:numPr>
        <w:spacing w:after="0"/>
        <w:jc w:val="left"/>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6CC73684" w14:textId="0E51EAD2" w:rsidR="00E6511D" w:rsidRPr="002F2AE6" w:rsidRDefault="00E6511D" w:rsidP="00E6511D">
      <w:pPr>
        <w:numPr>
          <w:ilvl w:val="0"/>
          <w:numId w:val="55"/>
        </w:numPr>
        <w:spacing w:after="0"/>
        <w:jc w:val="left"/>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bookmarkEnd w:id="4"/>
    </w:p>
    <w:p w14:paraId="77AA20F3" w14:textId="286D040D" w:rsidR="002F2AE6" w:rsidRDefault="002F2AE6" w:rsidP="002F2AE6">
      <w:pPr>
        <w:spacing w:after="0"/>
        <w:jc w:val="left"/>
        <w:rPr>
          <w:lang w:eastAsia="x-none"/>
        </w:rPr>
      </w:pPr>
    </w:p>
    <w:p w14:paraId="534BD48A" w14:textId="3A681E93" w:rsidR="002F2AE6" w:rsidRPr="00E6511D" w:rsidRDefault="002F2AE6" w:rsidP="002F2AE6">
      <w:pPr>
        <w:rPr>
          <w:b/>
        </w:rPr>
      </w:pPr>
      <w:r w:rsidRPr="00E6511D">
        <w:rPr>
          <w:b/>
        </w:rPr>
        <w:t>RAN1#</w:t>
      </w:r>
      <w:r>
        <w:rPr>
          <w:b/>
        </w:rPr>
        <w:t>AH-1901</w:t>
      </w:r>
    </w:p>
    <w:p w14:paraId="7BB7A78D" w14:textId="77777777" w:rsidR="002F2AE6" w:rsidRPr="001243DE" w:rsidRDefault="002F2AE6" w:rsidP="002F2AE6">
      <w:pPr>
        <w:rPr>
          <w:rFonts w:cs="Times"/>
          <w:bCs/>
          <w:szCs w:val="20"/>
          <w:lang w:eastAsia="x-none"/>
        </w:rPr>
      </w:pPr>
      <w:r w:rsidRPr="001243DE">
        <w:rPr>
          <w:rFonts w:cs="Times"/>
          <w:bCs/>
          <w:szCs w:val="20"/>
          <w:highlight w:val="green"/>
          <w:lang w:eastAsia="x-none"/>
        </w:rPr>
        <w:t>Agreement:</w:t>
      </w:r>
    </w:p>
    <w:p w14:paraId="4FA3D81D" w14:textId="77777777" w:rsidR="002F2AE6" w:rsidRPr="001243DE" w:rsidRDefault="002F2AE6" w:rsidP="002F2AE6">
      <w:pPr>
        <w:numPr>
          <w:ilvl w:val="0"/>
          <w:numId w:val="55"/>
        </w:numPr>
        <w:spacing w:after="0"/>
        <w:ind w:left="360"/>
        <w:jc w:val="left"/>
        <w:rPr>
          <w:rFonts w:cs="Times"/>
          <w:bCs/>
          <w:szCs w:val="20"/>
          <w:lang w:eastAsia="x-none"/>
        </w:rPr>
      </w:pPr>
      <w:r w:rsidRPr="001243DE">
        <w:rPr>
          <w:rFonts w:cs="Times"/>
          <w:bCs/>
          <w:szCs w:val="20"/>
          <w:lang w:eastAsia="x-none"/>
        </w:rPr>
        <w:t>RRC parameter dl-</w:t>
      </w:r>
      <w:proofErr w:type="spellStart"/>
      <w:r w:rsidRPr="001243DE">
        <w:rPr>
          <w:rFonts w:cs="Times"/>
          <w:bCs/>
          <w:szCs w:val="20"/>
          <w:lang w:eastAsia="x-none"/>
        </w:rPr>
        <w:t>DataToUL</w:t>
      </w:r>
      <w:proofErr w:type="spellEnd"/>
      <w:r w:rsidRPr="001243DE">
        <w:rPr>
          <w:rFonts w:cs="Times"/>
          <w:bCs/>
          <w:szCs w:val="20"/>
          <w:lang w:eastAsia="x-none"/>
        </w:rPr>
        <w:t xml:space="preserve">-ACK supports a value that can be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5BA6BD8E" w14:textId="77777777" w:rsidR="002F2AE6" w:rsidRPr="001243DE" w:rsidRDefault="002F2AE6" w:rsidP="002F2AE6">
      <w:pPr>
        <w:rPr>
          <w:rFonts w:cs="Times"/>
          <w:bCs/>
          <w:szCs w:val="20"/>
          <w:lang w:eastAsia="x-none"/>
        </w:rPr>
      </w:pPr>
    </w:p>
    <w:p w14:paraId="26C2D571" w14:textId="77777777" w:rsidR="002F2AE6" w:rsidRPr="001243DE" w:rsidRDefault="002F2AE6" w:rsidP="002F2AE6">
      <w:pPr>
        <w:rPr>
          <w:rFonts w:cs="Times"/>
          <w:bCs/>
          <w:szCs w:val="20"/>
          <w:u w:val="single"/>
          <w:lang w:eastAsia="x-none"/>
        </w:rPr>
      </w:pPr>
      <w:r w:rsidRPr="001243DE">
        <w:rPr>
          <w:rFonts w:cs="Times"/>
          <w:bCs/>
          <w:szCs w:val="20"/>
          <w:u w:val="single"/>
          <w:lang w:eastAsia="x-none"/>
        </w:rPr>
        <w:t>Conclusion:</w:t>
      </w:r>
    </w:p>
    <w:p w14:paraId="1B831643" w14:textId="77777777" w:rsidR="002F2AE6" w:rsidRPr="001243DE" w:rsidRDefault="002F2AE6" w:rsidP="002F2AE6">
      <w:pPr>
        <w:numPr>
          <w:ilvl w:val="0"/>
          <w:numId w:val="55"/>
        </w:numPr>
        <w:spacing w:after="0"/>
        <w:ind w:left="360"/>
        <w:jc w:val="left"/>
        <w:rPr>
          <w:rFonts w:cs="Times"/>
          <w:bCs/>
          <w:szCs w:val="20"/>
          <w:lang w:eastAsia="x-none"/>
        </w:rPr>
      </w:pPr>
      <w:r w:rsidRPr="001243DE">
        <w:rPr>
          <w:rFonts w:cs="Times"/>
          <w:bCs/>
          <w:szCs w:val="20"/>
          <w:lang w:eastAsia="x-none"/>
        </w:rPr>
        <w:t xml:space="preserve">No additional value of K1 </w:t>
      </w:r>
      <w:proofErr w:type="spellStart"/>
      <w:r w:rsidRPr="001243DE">
        <w:rPr>
          <w:rFonts w:cs="Times"/>
          <w:bCs/>
          <w:szCs w:val="20"/>
          <w:lang w:eastAsia="x-none"/>
        </w:rPr>
        <w:t>signaled</w:t>
      </w:r>
      <w:proofErr w:type="spellEnd"/>
      <w:r w:rsidRPr="001243DE">
        <w:rPr>
          <w:rFonts w:cs="Times"/>
          <w:bCs/>
          <w:szCs w:val="20"/>
          <w:lang w:eastAsia="x-none"/>
        </w:rPr>
        <w:t xml:space="preserve"> by PDSCH-to-HARQ-timing-indicator needs to be introduced </w:t>
      </w:r>
      <w:proofErr w:type="gramStart"/>
      <w:r w:rsidRPr="001243DE">
        <w:rPr>
          <w:rFonts w:cs="Times"/>
          <w:bCs/>
          <w:szCs w:val="20"/>
          <w:lang w:eastAsia="x-none"/>
        </w:rPr>
        <w:t>for the purpose of</w:t>
      </w:r>
      <w:proofErr w:type="gramEnd"/>
      <w:r w:rsidRPr="001243DE">
        <w:rPr>
          <w:rFonts w:cs="Times"/>
          <w:bCs/>
          <w:szCs w:val="20"/>
          <w:lang w:eastAsia="x-none"/>
        </w:rPr>
        <w:t xml:space="preserve"> requesting feedback outside the COT (i.e. Alt3 in TR38.889 section 7.2.1.3.3)</w:t>
      </w:r>
    </w:p>
    <w:p w14:paraId="0EF9C363" w14:textId="77777777" w:rsidR="002F2AE6" w:rsidRPr="001243DE"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Further discuss the details for determining the LBT type for the UE transmission of HARQ A/N feedback for this case</w:t>
      </w:r>
    </w:p>
    <w:p w14:paraId="1EC9658A" w14:textId="77777777" w:rsidR="002F2AE6" w:rsidRPr="001243DE"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 xml:space="preserve">Further discuss whether additional values need to be introduced </w:t>
      </w:r>
      <w:proofErr w:type="gramStart"/>
      <w:r w:rsidRPr="001243DE">
        <w:rPr>
          <w:rFonts w:cs="Times"/>
          <w:bCs/>
          <w:szCs w:val="20"/>
          <w:lang w:eastAsia="x-none"/>
        </w:rPr>
        <w:t>for the purpose of</w:t>
      </w:r>
      <w:proofErr w:type="gramEnd"/>
      <w:r w:rsidRPr="001243DE">
        <w:rPr>
          <w:rFonts w:cs="Times"/>
          <w:bCs/>
          <w:szCs w:val="20"/>
          <w:lang w:eastAsia="x-none"/>
        </w:rPr>
        <w:t xml:space="preserve"> requesting feedback inside the COT</w:t>
      </w:r>
    </w:p>
    <w:p w14:paraId="2F4917EE" w14:textId="77777777" w:rsidR="002F2AE6" w:rsidRPr="001243DE" w:rsidRDefault="002F2AE6" w:rsidP="002F2AE6">
      <w:pPr>
        <w:numPr>
          <w:ilvl w:val="2"/>
          <w:numId w:val="55"/>
        </w:numPr>
        <w:spacing w:after="0"/>
        <w:ind w:left="1800"/>
        <w:jc w:val="left"/>
        <w:rPr>
          <w:rFonts w:cs="Times"/>
          <w:bCs/>
          <w:szCs w:val="20"/>
          <w:lang w:eastAsia="x-none"/>
        </w:rPr>
      </w:pPr>
      <w:r w:rsidRPr="001243DE">
        <w:rPr>
          <w:rFonts w:cs="Times"/>
          <w:bCs/>
          <w:szCs w:val="20"/>
          <w:lang w:eastAsia="x-none"/>
        </w:rPr>
        <w:t>If additional values are introduced these can also be used for requesting feedback outside the COT</w:t>
      </w:r>
    </w:p>
    <w:p w14:paraId="79412596" w14:textId="4BB09E39" w:rsidR="002F2AE6" w:rsidRPr="002F2AE6" w:rsidRDefault="002F2AE6" w:rsidP="002F2AE6">
      <w:pPr>
        <w:numPr>
          <w:ilvl w:val="1"/>
          <w:numId w:val="55"/>
        </w:numPr>
        <w:spacing w:after="0"/>
        <w:ind w:left="1080"/>
        <w:jc w:val="left"/>
        <w:rPr>
          <w:rFonts w:cs="Times"/>
          <w:bCs/>
          <w:szCs w:val="20"/>
          <w:lang w:eastAsia="x-none"/>
        </w:rPr>
      </w:pPr>
      <w:r w:rsidRPr="001243DE">
        <w:rPr>
          <w:rFonts w:cs="Times"/>
          <w:bCs/>
          <w:szCs w:val="20"/>
          <w:lang w:eastAsia="x-none"/>
        </w:rPr>
        <w:t>Note: This does not necessitate that the UE needs to know whether the feedback is inside or outside the COT at the time when the feedback is requested</w:t>
      </w:r>
    </w:p>
    <w:p w14:paraId="72CFC95E" w14:textId="77777777" w:rsidR="002F2AE6" w:rsidRDefault="002F2AE6" w:rsidP="002F2AE6">
      <w:pPr>
        <w:spacing w:after="0"/>
        <w:jc w:val="left"/>
        <w:rPr>
          <w:lang w:eastAsia="x-none"/>
        </w:rPr>
      </w:pPr>
    </w:p>
    <w:p w14:paraId="54D68DA0" w14:textId="77777777" w:rsidR="002F2AE6" w:rsidRPr="001243DE" w:rsidRDefault="002F2AE6" w:rsidP="002F2AE6">
      <w:pPr>
        <w:rPr>
          <w:rFonts w:cs="Times"/>
          <w:szCs w:val="20"/>
          <w:lang w:eastAsia="x-none"/>
        </w:rPr>
      </w:pPr>
      <w:r w:rsidRPr="001243DE">
        <w:rPr>
          <w:rFonts w:cs="Times"/>
          <w:szCs w:val="20"/>
          <w:highlight w:val="green"/>
          <w:lang w:eastAsia="x-none"/>
        </w:rPr>
        <w:lastRenderedPageBreak/>
        <w:t>Agreement:</w:t>
      </w:r>
    </w:p>
    <w:p w14:paraId="46041581" w14:textId="77777777" w:rsidR="002F2AE6" w:rsidRPr="001243DE" w:rsidRDefault="002F2AE6" w:rsidP="002F2AE6">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25B9E2A9" w14:textId="77777777" w:rsidR="002F2AE6" w:rsidRPr="001243DE" w:rsidRDefault="002F2AE6" w:rsidP="002F2AE6">
      <w:pPr>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19F32B8B" w14:textId="77777777" w:rsidR="002F2AE6" w:rsidRPr="001243DE" w:rsidRDefault="002F2AE6" w:rsidP="002F2AE6">
      <w:pPr>
        <w:rPr>
          <w:rFonts w:cs="Times"/>
          <w:szCs w:val="20"/>
          <w:lang w:eastAsia="x-none"/>
        </w:rPr>
      </w:pPr>
      <w:r w:rsidRPr="001243DE">
        <w:rPr>
          <w:rFonts w:cs="Times"/>
          <w:szCs w:val="20"/>
          <w:highlight w:val="green"/>
          <w:lang w:eastAsia="x-none"/>
        </w:rPr>
        <w:t>Agreement:</w:t>
      </w:r>
    </w:p>
    <w:p w14:paraId="20DA2D6B" w14:textId="4151818E" w:rsidR="002F2AE6" w:rsidRDefault="002F2AE6" w:rsidP="002F2AE6">
      <w:pPr>
        <w:rPr>
          <w:rFonts w:cs="Times"/>
          <w:szCs w:val="20"/>
          <w:lang w:eastAsia="x-none"/>
        </w:rPr>
      </w:pPr>
      <w:r w:rsidRPr="001243DE">
        <w:rPr>
          <w:rFonts w:cs="Times"/>
          <w:szCs w:val="20"/>
          <w:lang w:eastAsia="x-none"/>
        </w:rPr>
        <w:t>Cross-carrier HARQ re-transmissions will not be discussed for NR-U in Rel-16.</w:t>
      </w:r>
    </w:p>
    <w:p w14:paraId="6EE3F342" w14:textId="329DF099" w:rsidR="00D837D7" w:rsidRDefault="00D837D7" w:rsidP="002F2AE6">
      <w:pPr>
        <w:rPr>
          <w:b/>
        </w:rPr>
      </w:pPr>
      <w:r w:rsidRPr="00E6511D">
        <w:rPr>
          <w:b/>
        </w:rPr>
        <w:t>RAN1#</w:t>
      </w:r>
      <w:r>
        <w:rPr>
          <w:b/>
        </w:rPr>
        <w:t>96</w:t>
      </w:r>
    </w:p>
    <w:p w14:paraId="695390BC" w14:textId="77777777" w:rsidR="00D837D7" w:rsidRDefault="00D837D7" w:rsidP="00D837D7">
      <w:pPr>
        <w:rPr>
          <w:lang w:eastAsia="x-none"/>
        </w:rPr>
      </w:pPr>
      <w:r w:rsidRPr="00B0796C">
        <w:rPr>
          <w:highlight w:val="green"/>
          <w:lang w:eastAsia="x-none"/>
        </w:rPr>
        <w:t>Agreement:</w:t>
      </w:r>
    </w:p>
    <w:p w14:paraId="45E46A5E" w14:textId="77777777" w:rsidR="00D837D7" w:rsidRDefault="00D837D7" w:rsidP="00D837D7">
      <w:pPr>
        <w:rPr>
          <w:lang w:eastAsia="x-none"/>
        </w:rPr>
      </w:pPr>
      <w:r>
        <w:rPr>
          <w:lang w:eastAsia="x-none"/>
        </w:rPr>
        <w:t>Scheduling PUSCH over multiple slots/mini-slots by single DCI supports at least multiple continuous PUSCHs with separate TBs</w:t>
      </w:r>
    </w:p>
    <w:p w14:paraId="66D18278" w14:textId="77777777" w:rsidR="00D837D7" w:rsidRDefault="00D837D7" w:rsidP="00D837D7">
      <w:pPr>
        <w:numPr>
          <w:ilvl w:val="0"/>
          <w:numId w:val="70"/>
        </w:numPr>
        <w:spacing w:after="0"/>
        <w:jc w:val="left"/>
        <w:rPr>
          <w:lang w:eastAsia="x-none"/>
        </w:rPr>
      </w:pPr>
      <w:r>
        <w:rPr>
          <w:lang w:eastAsia="x-none"/>
        </w:rPr>
        <w:t>Each TB is mapped to at most one slot or one mini-slot</w:t>
      </w:r>
    </w:p>
    <w:p w14:paraId="7023EB0E" w14:textId="77777777" w:rsidR="00D837D7" w:rsidRPr="001243DE" w:rsidRDefault="00D837D7" w:rsidP="002F2AE6">
      <w:pPr>
        <w:rPr>
          <w:rFonts w:cs="Times"/>
          <w:szCs w:val="20"/>
          <w:lang w:eastAsia="x-none"/>
        </w:rPr>
      </w:pPr>
    </w:p>
    <w:p w14:paraId="03A96ECB" w14:textId="46D81193" w:rsidR="00ED36EF" w:rsidRDefault="00ED36EF" w:rsidP="00ED36EF">
      <w:pPr>
        <w:pStyle w:val="Heading1"/>
      </w:pPr>
      <w:r>
        <w:t>HARQ ACK Feedback</w:t>
      </w:r>
    </w:p>
    <w:p w14:paraId="6A3D8A5E" w14:textId="573856C9" w:rsidR="00ED36EF" w:rsidRPr="00A86414" w:rsidRDefault="00ED36EF" w:rsidP="00ED36EF">
      <w:pPr>
        <w:rPr>
          <w:b/>
        </w:rPr>
      </w:pPr>
      <w:r>
        <w:t xml:space="preserve">NR supports </w:t>
      </w:r>
      <w:proofErr w:type="gramStart"/>
      <w:r w:rsidR="00307EED">
        <w:t>fairly flexible</w:t>
      </w:r>
      <w:proofErr w:type="gramEnd"/>
      <w:r>
        <w:t xml:space="preserve"> HARQ operation. In both DCI Format 1-0 and DCI Format 1-1 the HARQ ACK delay field (</w:t>
      </w:r>
      <w:r>
        <w:rPr>
          <w:rFonts w:hint="eastAsia"/>
          <w:lang w:eastAsia="zh-CN"/>
        </w:rPr>
        <w:t>PDSCH-to-HARQ</w:t>
      </w:r>
      <w:r w:rsidR="00307EED">
        <w:rPr>
          <w:lang w:eastAsia="zh-CN"/>
        </w:rPr>
        <w:t xml:space="preserve"> </w:t>
      </w:r>
      <w:r>
        <w:rPr>
          <w:rFonts w:hint="eastAsia"/>
          <w:lang w:eastAsia="zh-CN"/>
        </w:rPr>
        <w:t>feedback timing indicator</w:t>
      </w:r>
      <w:r w:rsidR="00394326">
        <w:rPr>
          <w:lang w:eastAsia="zh-CN"/>
        </w:rPr>
        <w:t xml:space="preserve"> which can be up</w:t>
      </w:r>
      <w:r w:rsidR="0014361B">
        <w:rPr>
          <w:lang w:eastAsia="zh-CN"/>
        </w:rPr>
        <w:t xml:space="preserve"> </w:t>
      </w:r>
      <w:r w:rsidR="00394326">
        <w:rPr>
          <w:lang w:eastAsia="zh-CN"/>
        </w:rPr>
        <w:t>to 3 bits</w:t>
      </w:r>
      <w:r w:rsidR="0014361B">
        <w:rPr>
          <w:lang w:eastAsia="zh-CN"/>
        </w:rPr>
        <w:t xml:space="preserve"> long</w:t>
      </w:r>
      <w:r>
        <w:rPr>
          <w:lang w:eastAsia="zh-CN"/>
        </w:rPr>
        <w:t>)</w:t>
      </w:r>
      <w:r>
        <w:t xml:space="preserve"> can be used to control the location of the ACK. In DCI Format 1-1 the delay values come from a higher layer configured set while for DCI Format 1-0 the delay is from the set {1, </w:t>
      </w:r>
      <w:proofErr w:type="gramStart"/>
      <w:r>
        <w:t>2, ..</w:t>
      </w:r>
      <w:proofErr w:type="gramEnd"/>
      <w:r>
        <w:t>,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5F2EA360" w:rsidR="00ED36EF" w:rsidRDefault="00ED36EF" w:rsidP="00ED36EF">
      <w:r>
        <w:t>In NR, the ACKs that are included in a PUCCH/PUSCH are determined based on the configured delay</w:t>
      </w:r>
      <w:r w:rsidR="009E7AF3">
        <w:t xml:space="preserve"> in the DCI for the PDSCH</w:t>
      </w:r>
      <w:r>
        <w:t xml:space="preserve">. Hence the ACK for any </w:t>
      </w:r>
      <w:proofErr w:type="gramStart"/>
      <w:r>
        <w:t>particular HARQ</w:t>
      </w:r>
      <w:proofErr w:type="gramEnd"/>
      <w:r>
        <w:t xml:space="preserve">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DF5541">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00.5pt" o:ole="">
            <v:imagedata r:id="rId12" o:title=""/>
          </v:shape>
          <o:OLEObject Type="Embed" ProgID="Visio.Drawing.11" ShapeID="_x0000_i1025" DrawAspect="Content" ObjectID="_1615373193" r:id="rId13"/>
        </w:object>
      </w:r>
    </w:p>
    <w:p w14:paraId="43C6C184" w14:textId="02A8589B" w:rsidR="00ED36EF" w:rsidRDefault="00ED36EF" w:rsidP="00ED36EF">
      <w:pPr>
        <w:pStyle w:val="Caption"/>
        <w:jc w:val="center"/>
      </w:pPr>
      <w:bookmarkStart w:id="5" w:name="_Ref513497040"/>
      <w:r>
        <w:t xml:space="preserve">Figure </w:t>
      </w:r>
      <w:r>
        <w:fldChar w:fldCharType="begin"/>
      </w:r>
      <w:r>
        <w:instrText xml:space="preserve"> SEQ Figure \* ARABIC </w:instrText>
      </w:r>
      <w:r>
        <w:fldChar w:fldCharType="separate"/>
      </w:r>
      <w:r w:rsidR="00DF5541">
        <w:rPr>
          <w:noProof/>
        </w:rPr>
        <w:t>1</w:t>
      </w:r>
      <w:r>
        <w:fldChar w:fldCharType="end"/>
      </w:r>
      <w:bookmarkEnd w:id="5"/>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69E0FDE9" w14:textId="408EECE3" w:rsidR="001D755E" w:rsidRPr="001B4381" w:rsidRDefault="00ED36EF" w:rsidP="00F31717">
      <w:pPr>
        <w:spacing w:after="0"/>
        <w:rPr>
          <w:rFonts w:ascii="Times New Roman" w:hAnsi="Times New Roman"/>
          <w:szCs w:val="20"/>
        </w:rPr>
      </w:pPr>
      <w:r>
        <w:br/>
      </w:r>
      <w:r w:rsidR="00F31717">
        <w:rPr>
          <w:rFonts w:ascii="Times New Roman" w:hAnsi="Times New Roman"/>
          <w:szCs w:val="20"/>
        </w:rPr>
        <w:t>We feel multimer time domain opportunities has more impact than m</w:t>
      </w:r>
      <w:r w:rsidRPr="001B4381">
        <w:rPr>
          <w:rFonts w:ascii="Times New Roman" w:hAnsi="Times New Roman"/>
          <w:szCs w:val="20"/>
        </w:rPr>
        <w:t xml:space="preserve">ultiple opportunities in </w:t>
      </w:r>
      <w:r w:rsidR="00F31717">
        <w:rPr>
          <w:rFonts w:ascii="Times New Roman" w:hAnsi="Times New Roman"/>
          <w:szCs w:val="20"/>
        </w:rPr>
        <w:t>frequency</w:t>
      </w:r>
      <w:r w:rsidRPr="001B4381">
        <w:rPr>
          <w:rFonts w:ascii="Times New Roman" w:hAnsi="Times New Roman"/>
          <w:szCs w:val="20"/>
        </w:rPr>
        <w:t xml:space="preserve"> </w:t>
      </w:r>
      <w:proofErr w:type="gramStart"/>
      <w:r w:rsidRPr="001B4381">
        <w:rPr>
          <w:rFonts w:ascii="Times New Roman" w:hAnsi="Times New Roman"/>
          <w:szCs w:val="20"/>
        </w:rPr>
        <w:t>domain</w:t>
      </w:r>
      <w:r w:rsidR="00F31717">
        <w:rPr>
          <w:rFonts w:ascii="Times New Roman" w:hAnsi="Times New Roman"/>
          <w:szCs w:val="20"/>
        </w:rPr>
        <w:t>, and</w:t>
      </w:r>
      <w:proofErr w:type="gramEnd"/>
      <w:r w:rsidR="00F31717">
        <w:rPr>
          <w:rFonts w:ascii="Times New Roman" w:hAnsi="Times New Roman"/>
          <w:szCs w:val="20"/>
        </w:rPr>
        <w:t xml:space="preserve"> </w:t>
      </w:r>
      <w:r w:rsidR="00C85C87" w:rsidRPr="001B4381">
        <w:rPr>
          <w:rFonts w:ascii="Times New Roman" w:hAnsi="Times New Roman"/>
          <w:szCs w:val="20"/>
        </w:rPr>
        <w:t>should be supported</w:t>
      </w:r>
      <w:r w:rsidR="00F31717">
        <w:rPr>
          <w:rFonts w:ascii="Times New Roman" w:hAnsi="Times New Roman"/>
          <w:szCs w:val="20"/>
        </w:rPr>
        <w:t xml:space="preserve"> with higher priority</w:t>
      </w:r>
      <w:r w:rsidRPr="001B4381">
        <w:rPr>
          <w:rFonts w:ascii="Times New Roman" w:hAnsi="Times New Roman"/>
          <w:szCs w:val="20"/>
        </w:rPr>
        <w:t xml:space="preserve">. </w:t>
      </w:r>
      <w:r w:rsidR="00F31717">
        <w:rPr>
          <w:rFonts w:ascii="Times New Roman" w:hAnsi="Times New Roman"/>
          <w:szCs w:val="20"/>
        </w:rPr>
        <w:t xml:space="preserve">This is mainly because there can be high correlation for LBT outcome across different </w:t>
      </w:r>
      <w:proofErr w:type="spellStart"/>
      <w:r w:rsidR="00F31717">
        <w:rPr>
          <w:rFonts w:ascii="Times New Roman" w:hAnsi="Times New Roman"/>
          <w:szCs w:val="20"/>
        </w:rPr>
        <w:t>subbands</w:t>
      </w:r>
      <w:proofErr w:type="spellEnd"/>
      <w:r w:rsidR="00F31717">
        <w:rPr>
          <w:rFonts w:ascii="Times New Roman" w:hAnsi="Times New Roman"/>
          <w:szCs w:val="20"/>
        </w:rPr>
        <w:t xml:space="preserve"> at the same time, especially the same channel bundling is used. </w:t>
      </w:r>
      <w:r w:rsidR="001D755E" w:rsidRPr="001B4381">
        <w:rPr>
          <w:rFonts w:ascii="Times New Roman" w:hAnsi="Times New Roman"/>
          <w:szCs w:val="20"/>
        </w:rPr>
        <w:t>The following was agreed</w:t>
      </w:r>
      <w:r w:rsidR="0014158A" w:rsidRPr="001B4381">
        <w:rPr>
          <w:rFonts w:ascii="Times New Roman" w:hAnsi="Times New Roman"/>
          <w:szCs w:val="20"/>
        </w:rPr>
        <w:t xml:space="preserve"> in RAN1-AH-1901:</w:t>
      </w:r>
    </w:p>
    <w:p w14:paraId="3E56EB09" w14:textId="77777777" w:rsidR="001D755E" w:rsidRPr="001B4381" w:rsidRDefault="001D755E" w:rsidP="001B4381">
      <w:pPr>
        <w:pStyle w:val="ListParagraph"/>
        <w:numPr>
          <w:ilvl w:val="0"/>
          <w:numId w:val="53"/>
        </w:numPr>
        <w:rPr>
          <w:szCs w:val="20"/>
          <w:lang w:eastAsia="x-none"/>
        </w:rPr>
      </w:pPr>
      <w:r w:rsidRPr="001B4381">
        <w:rPr>
          <w:szCs w:val="20"/>
          <w:lang w:eastAsia="x-none"/>
        </w:rPr>
        <w:lastRenderedPageBreak/>
        <w:t>For enabling multiple opportunities for HARQ A/N transmission and for cross-COT HARQ-ACK feedback, at least the following is supported:</w:t>
      </w:r>
    </w:p>
    <w:p w14:paraId="2783873F" w14:textId="77777777" w:rsidR="001D755E" w:rsidRPr="001B4381" w:rsidRDefault="001D755E" w:rsidP="001B4381">
      <w:pPr>
        <w:pStyle w:val="ListParagraph"/>
        <w:rPr>
          <w:szCs w:val="20"/>
          <w:lang w:eastAsia="x-none"/>
        </w:rPr>
      </w:pPr>
      <w:r w:rsidRPr="001B4381">
        <w:rPr>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1317A422" w14:textId="112CAC3F" w:rsidR="001D755E" w:rsidRPr="001B4381" w:rsidRDefault="001D755E" w:rsidP="00ED36EF">
      <w:pPr>
        <w:rPr>
          <w:rFonts w:ascii="Times New Roman" w:hAnsi="Times New Roman"/>
          <w:szCs w:val="20"/>
        </w:rPr>
      </w:pPr>
      <w:r w:rsidRPr="001B4381">
        <w:rPr>
          <w:rFonts w:ascii="Times New Roman" w:hAnsi="Times New Roman"/>
          <w:szCs w:val="20"/>
        </w:rPr>
        <w:t>Among the remaining alternatives identified during the SI phase, we feel the following should not be supported:</w:t>
      </w:r>
    </w:p>
    <w:p w14:paraId="63C7C9E8" w14:textId="0BDEDA8E" w:rsidR="001D755E" w:rsidRPr="001B4381" w:rsidRDefault="001D755E" w:rsidP="001D755E">
      <w:pPr>
        <w:pStyle w:val="ListParagraph"/>
        <w:numPr>
          <w:ilvl w:val="0"/>
          <w:numId w:val="53"/>
        </w:numPr>
        <w:rPr>
          <w:szCs w:val="20"/>
        </w:rPr>
      </w:pPr>
      <w:r w:rsidRPr="001B4381">
        <w:rPr>
          <w:b/>
          <w:szCs w:val="20"/>
          <w:lang w:val="en-US" w:eastAsia="x-none"/>
        </w:rPr>
        <w:t>Alt2</w:t>
      </w:r>
      <w:r w:rsidRPr="001B4381">
        <w:rPr>
          <w:szCs w:val="20"/>
          <w:lang w:val="en-US" w:eastAsia="x-none"/>
        </w:rPr>
        <w:t>: UE is configured/allowed to report HARQ feedback for PDSCH from earlier COT(s) without an explicit request/trigger</w:t>
      </w:r>
    </w:p>
    <w:p w14:paraId="7F7327E3" w14:textId="7FCE3967" w:rsidR="001D755E" w:rsidRPr="00CD336D" w:rsidRDefault="001D755E" w:rsidP="001B4381">
      <w:pPr>
        <w:pStyle w:val="ListParagraph"/>
        <w:numPr>
          <w:ilvl w:val="0"/>
          <w:numId w:val="53"/>
        </w:numPr>
        <w:rPr>
          <w:szCs w:val="20"/>
        </w:rPr>
      </w:pPr>
      <w:r w:rsidRPr="001B4381">
        <w:rPr>
          <w:b/>
          <w:szCs w:val="20"/>
          <w:lang w:eastAsia="x-none"/>
        </w:rPr>
        <w:t>Alt5</w:t>
      </w:r>
      <w:r w:rsidRPr="001B4381">
        <w:rPr>
          <w:szCs w:val="20"/>
          <w:lang w:eastAsia="x-none"/>
        </w:rPr>
        <w:t>: preconfigured/pre-indicated multiple opportunities in time domain</w:t>
      </w:r>
    </w:p>
    <w:p w14:paraId="75AB33FA" w14:textId="794EDA07" w:rsidR="00101412" w:rsidRPr="001B4381" w:rsidRDefault="001D755E" w:rsidP="00ED36EF">
      <w:pPr>
        <w:rPr>
          <w:rFonts w:ascii="Times New Roman" w:hAnsi="Times New Roman"/>
          <w:szCs w:val="20"/>
        </w:rPr>
      </w:pPr>
      <w:r w:rsidRPr="001B4381">
        <w:rPr>
          <w:rFonts w:ascii="Times New Roman" w:hAnsi="Times New Roman"/>
          <w:szCs w:val="20"/>
        </w:rPr>
        <w:t>For alternative 2, one of the specific solutions proposed was for ACK feedback to be done autonomously at UE</w:t>
      </w:r>
      <w:r w:rsidR="00A31BAF">
        <w:rPr>
          <w:rFonts w:ascii="Times New Roman" w:hAnsi="Times New Roman"/>
          <w:szCs w:val="20"/>
        </w:rPr>
        <w:t xml:space="preserve"> </w:t>
      </w:r>
      <w:r w:rsidR="00A31BAF" w:rsidRPr="00BA67A0">
        <w:rPr>
          <w:rFonts w:ascii="Times New Roman" w:hAnsi="Times New Roman"/>
          <w:szCs w:val="20"/>
        </w:rPr>
        <w:t>at the next ACK opportunity</w:t>
      </w:r>
      <w:r w:rsidRPr="001B4381">
        <w:rPr>
          <w:rFonts w:ascii="Times New Roman" w:hAnsi="Times New Roman"/>
          <w:szCs w:val="20"/>
        </w:rPr>
        <w:t xml:space="preserve"> on LBT failure</w:t>
      </w:r>
      <w:r w:rsidR="00A31BAF">
        <w:rPr>
          <w:rFonts w:ascii="Times New Roman" w:hAnsi="Times New Roman"/>
          <w:szCs w:val="20"/>
        </w:rPr>
        <w:t xml:space="preserve"> at the first ACK opportunity</w:t>
      </w:r>
      <w:r w:rsidRPr="001B4381">
        <w:rPr>
          <w:rFonts w:ascii="Times New Roman" w:hAnsi="Times New Roman"/>
          <w:szCs w:val="20"/>
        </w:rPr>
        <w:t>. Implementing such a solution would then need blind decoding of ACK at gNB</w:t>
      </w:r>
      <w:r w:rsidR="00101412" w:rsidRPr="001B4381">
        <w:rPr>
          <w:rFonts w:ascii="Times New Roman" w:hAnsi="Times New Roman"/>
          <w:szCs w:val="20"/>
        </w:rPr>
        <w:t xml:space="preserve"> with different codebook sizes as gNB cannot distinguish an ACK not being sent by UE due to LBT failure with an ACK being sent but not detected at gNB</w:t>
      </w:r>
      <w:r w:rsidRPr="001B4381">
        <w:rPr>
          <w:rFonts w:ascii="Times New Roman" w:hAnsi="Times New Roman"/>
          <w:szCs w:val="20"/>
        </w:rPr>
        <w:t>.</w:t>
      </w:r>
      <w:r w:rsidR="00101412" w:rsidRPr="001B4381">
        <w:rPr>
          <w:rFonts w:ascii="Times New Roman" w:hAnsi="Times New Roman"/>
          <w:szCs w:val="20"/>
        </w:rPr>
        <w:t xml:space="preserve"> </w:t>
      </w:r>
      <w:r w:rsidR="0014158A">
        <w:rPr>
          <w:rFonts w:ascii="Times New Roman" w:hAnsi="Times New Roman"/>
          <w:szCs w:val="20"/>
        </w:rPr>
        <w:t>T</w:t>
      </w:r>
      <w:r w:rsidR="00101412" w:rsidRPr="001B4381">
        <w:rPr>
          <w:rFonts w:ascii="Times New Roman" w:hAnsi="Times New Roman"/>
          <w:szCs w:val="20"/>
        </w:rPr>
        <w:t xml:space="preserve">here are </w:t>
      </w:r>
      <w:r w:rsidR="0014158A">
        <w:rPr>
          <w:rFonts w:ascii="Times New Roman" w:hAnsi="Times New Roman"/>
          <w:szCs w:val="20"/>
        </w:rPr>
        <w:t xml:space="preserve">also </w:t>
      </w:r>
      <w:r w:rsidR="00101412" w:rsidRPr="001B4381">
        <w:rPr>
          <w:rFonts w:ascii="Times New Roman" w:hAnsi="Times New Roman"/>
          <w:szCs w:val="20"/>
        </w:rPr>
        <w:t xml:space="preserve">other robustness issues associated </w:t>
      </w:r>
      <w:r w:rsidR="0014158A">
        <w:rPr>
          <w:rFonts w:ascii="Times New Roman" w:hAnsi="Times New Roman"/>
          <w:szCs w:val="20"/>
        </w:rPr>
        <w:t xml:space="preserve">such as </w:t>
      </w:r>
      <w:r w:rsidR="00101412" w:rsidRPr="001B4381">
        <w:rPr>
          <w:rFonts w:ascii="Times New Roman" w:hAnsi="Times New Roman"/>
          <w:szCs w:val="20"/>
        </w:rPr>
        <w:t xml:space="preserve">with UE not detecting PDCCHs – for example UE may not identify the next opportunity correctly if it did not detect any PDCCH for the next ACK opportunity. </w:t>
      </w:r>
    </w:p>
    <w:p w14:paraId="0EF71E5F" w14:textId="39B4466E" w:rsidR="001D755E" w:rsidRPr="001B4381" w:rsidRDefault="00101412" w:rsidP="00ED36EF">
      <w:pPr>
        <w:rPr>
          <w:rFonts w:ascii="Times New Roman" w:hAnsi="Times New Roman"/>
          <w:szCs w:val="20"/>
        </w:rPr>
      </w:pPr>
      <w:r w:rsidRPr="001B4381">
        <w:rPr>
          <w:rFonts w:ascii="Times New Roman" w:hAnsi="Times New Roman"/>
          <w:szCs w:val="20"/>
        </w:rPr>
        <w:t xml:space="preserve">For alternative 5, we do not see too much benefit in configuring back to back ACK resources for same ACK feedback as it leads to higher resource reservation overhead at gNB </w:t>
      </w:r>
      <w:r w:rsidR="00137F83">
        <w:rPr>
          <w:rFonts w:ascii="Times New Roman" w:hAnsi="Times New Roman"/>
          <w:szCs w:val="20"/>
        </w:rPr>
        <w:t xml:space="preserve">even when there are no LBT related issues </w:t>
      </w:r>
      <w:r w:rsidRPr="001B4381">
        <w:rPr>
          <w:rFonts w:ascii="Times New Roman" w:hAnsi="Times New Roman"/>
          <w:szCs w:val="20"/>
        </w:rPr>
        <w:t>and since we don’t expect much improvement in the chances of LBT passing in such back to back resources when it fails on the first resource.</w:t>
      </w:r>
      <w:r w:rsidR="0014158A">
        <w:rPr>
          <w:rFonts w:ascii="Times New Roman" w:hAnsi="Times New Roman"/>
          <w:szCs w:val="20"/>
        </w:rPr>
        <w:t xml:space="preserve"> </w:t>
      </w:r>
      <w:r w:rsidR="00137F83">
        <w:rPr>
          <w:rFonts w:ascii="Times New Roman" w:hAnsi="Times New Roman"/>
          <w:szCs w:val="20"/>
        </w:rPr>
        <w:t>Furthermore</w:t>
      </w:r>
      <w:r w:rsidR="0014158A">
        <w:rPr>
          <w:rFonts w:ascii="Times New Roman" w:hAnsi="Times New Roman"/>
          <w:szCs w:val="20"/>
        </w:rPr>
        <w:t xml:space="preserve">, the agreed </w:t>
      </w:r>
      <w:proofErr w:type="gramStart"/>
      <w:r w:rsidR="0014158A">
        <w:rPr>
          <w:rFonts w:ascii="Times New Roman" w:hAnsi="Times New Roman"/>
          <w:szCs w:val="20"/>
        </w:rPr>
        <w:t>trigger</w:t>
      </w:r>
      <w:r w:rsidR="00F31717">
        <w:rPr>
          <w:rFonts w:ascii="Times New Roman" w:hAnsi="Times New Roman"/>
          <w:szCs w:val="20"/>
        </w:rPr>
        <w:t xml:space="preserve"> </w:t>
      </w:r>
      <w:r w:rsidR="0014158A">
        <w:rPr>
          <w:rFonts w:ascii="Times New Roman" w:hAnsi="Times New Roman"/>
          <w:szCs w:val="20"/>
        </w:rPr>
        <w:t>based</w:t>
      </w:r>
      <w:proofErr w:type="gramEnd"/>
      <w:r w:rsidR="0014158A">
        <w:rPr>
          <w:rFonts w:ascii="Times New Roman" w:hAnsi="Times New Roman"/>
          <w:szCs w:val="20"/>
        </w:rPr>
        <w:t xml:space="preserve"> mechanism solves the LBT related problems adequately</w:t>
      </w:r>
      <w:r w:rsidR="00137F83">
        <w:rPr>
          <w:rFonts w:ascii="Times New Roman" w:hAnsi="Times New Roman"/>
          <w:szCs w:val="20"/>
        </w:rPr>
        <w:t xml:space="preserve"> making this additional alternative unnecessary</w:t>
      </w:r>
      <w:r w:rsidR="0014158A">
        <w:rPr>
          <w:rFonts w:ascii="Times New Roman" w:hAnsi="Times New Roman"/>
          <w:szCs w:val="20"/>
        </w:rPr>
        <w:t>.</w:t>
      </w:r>
    </w:p>
    <w:p w14:paraId="2BE0CB39" w14:textId="27FC581E" w:rsidR="0014158A" w:rsidRDefault="0014158A" w:rsidP="00ED36EF">
      <w:bookmarkStart w:id="6" w:name="p2"/>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DF5541">
        <w:rPr>
          <w:b/>
          <w:noProof/>
          <w:u w:val="single"/>
        </w:rPr>
        <w:t>1</w:t>
      </w:r>
      <w:r w:rsidRPr="003B760D">
        <w:rPr>
          <w:b/>
          <w:u w:val="single"/>
        </w:rPr>
        <w:fldChar w:fldCharType="end"/>
      </w:r>
      <w:r w:rsidRPr="003B760D">
        <w:rPr>
          <w:b/>
          <w:u w:val="single"/>
        </w:rPr>
        <w:t>:</w:t>
      </w:r>
      <w:r w:rsidRPr="003B760D">
        <w:rPr>
          <w:b/>
        </w:rPr>
        <w:t xml:space="preserve"> </w:t>
      </w:r>
      <w:r>
        <w:rPr>
          <w:b/>
        </w:rPr>
        <w:t xml:space="preserve">Alt 2 and Alt 5 identified for </w:t>
      </w:r>
      <w:r w:rsidR="000E2B92">
        <w:rPr>
          <w:b/>
        </w:rPr>
        <w:t>m</w:t>
      </w:r>
      <w:r w:rsidRPr="0014158A">
        <w:rPr>
          <w:b/>
        </w:rPr>
        <w:t>ultiple opportunities for HARQ A/N transmission</w:t>
      </w:r>
      <w:r>
        <w:rPr>
          <w:b/>
        </w:rPr>
        <w:t xml:space="preserve"> are not supported</w:t>
      </w:r>
    </w:p>
    <w:bookmarkEnd w:id="6"/>
    <w:p w14:paraId="5D86C4E1" w14:textId="7CB9BB0B" w:rsidR="00ED36EF" w:rsidRPr="003B760D" w:rsidRDefault="0014158A" w:rsidP="00ED36EF">
      <w:r>
        <w:t>I</w:t>
      </w:r>
      <w:r w:rsidR="00F969A7">
        <w:t xml:space="preserve">n the following </w:t>
      </w:r>
      <w:r w:rsidR="00C85C87">
        <w:t>sub-</w:t>
      </w:r>
      <w:proofErr w:type="gramStart"/>
      <w:r w:rsidR="00F969A7">
        <w:t>sections</w:t>
      </w:r>
      <w:proofErr w:type="gramEnd"/>
      <w:r w:rsidR="00F969A7">
        <w:t xml:space="preserve"> </w:t>
      </w:r>
      <w:r>
        <w:t xml:space="preserve">we provide more details for supporting triggered HARQ-ACK feedback. </w:t>
      </w:r>
    </w:p>
    <w:p w14:paraId="5566882F" w14:textId="52FF585E" w:rsidR="00342F7C" w:rsidRDefault="00342F7C" w:rsidP="001261C1">
      <w:pPr>
        <w:pStyle w:val="Heading2"/>
      </w:pPr>
      <w:r>
        <w:t xml:space="preserve">Allowing for </w:t>
      </w:r>
      <w:r w:rsidR="00CB7179">
        <w:t xml:space="preserve">indication of larger </w:t>
      </w:r>
      <w:r w:rsidR="00AF6D2B">
        <w:t>HARQ-Ack delay</w:t>
      </w:r>
    </w:p>
    <w:p w14:paraId="28EDE6DE" w14:textId="7F08DBDE" w:rsidR="00AF6D2B" w:rsidRPr="00A82B75" w:rsidRDefault="00AF6D2B" w:rsidP="00AF6D2B">
      <w:pPr>
        <w:rPr>
          <w:rFonts w:ascii="Times New Roman" w:hAnsi="Times New Roman"/>
        </w:rPr>
      </w:pPr>
      <w:r w:rsidRPr="00A82B75">
        <w:rPr>
          <w:rFonts w:ascii="Times New Roman" w:hAnsi="Times New Roman"/>
        </w:rPr>
        <w:t xml:space="preserve">In NR-U operation, in some cases, the gNB needs to create LBT gaps for switches from DL to UL which increases overhead and results in potential loss of access to the medium. To avoid these issues gNB may choose a frame structure that has just one switch from DL to UL. LTE </w:t>
      </w:r>
      <w:proofErr w:type="spellStart"/>
      <w:r w:rsidRPr="00A82B75">
        <w:rPr>
          <w:rFonts w:ascii="Times New Roman" w:hAnsi="Times New Roman"/>
        </w:rPr>
        <w:t>eLAA</w:t>
      </w:r>
      <w:proofErr w:type="spellEnd"/>
      <w:r w:rsidRPr="00A82B75">
        <w:rPr>
          <w:rFonts w:ascii="Times New Roman" w:hAnsi="Times New Roman"/>
        </w:rPr>
        <w:t xml:space="preserve">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which is far smaller than maximum COT size allowed.</w:t>
      </w:r>
      <w:r w:rsidR="008F38F6">
        <w:rPr>
          <w:rFonts w:ascii="Times New Roman" w:hAnsi="Times New Roman"/>
        </w:rPr>
        <w:t xml:space="preserve"> As another example, consider that a DL burst (consisting of a few slots) is followed by an UL burst. </w:t>
      </w:r>
      <w:r w:rsidR="008F38F6" w:rsidRPr="008F38F6">
        <w:rPr>
          <w:rFonts w:ascii="Times New Roman" w:hAnsi="Times New Roman"/>
        </w:rPr>
        <w:t>Since UL transmissions are based on one-shot LBT, it is desirable to send the ACK feedback towards end of the UL burst to improve chances of ACK being sent</w:t>
      </w:r>
      <w:r w:rsidR="008F38F6">
        <w:rPr>
          <w:rFonts w:ascii="Times New Roman" w:hAnsi="Times New Roman"/>
        </w:rPr>
        <w:t>. This also requires using larger HARQ-Ack feedback delay at least for the initial slots in the DL burst.</w:t>
      </w:r>
    </w:p>
    <w:p w14:paraId="2203FFC6" w14:textId="0C9BD74E" w:rsidR="00E576EA" w:rsidRPr="0080686C" w:rsidRDefault="00AF6D2B" w:rsidP="00AF6D2B">
      <w:pPr>
        <w:rPr>
          <w:rFonts w:ascii="Times New Roman" w:hAnsi="Times New Roman"/>
        </w:rPr>
      </w:pPr>
      <w:r w:rsidRPr="0080686C">
        <w:rPr>
          <w:rFonts w:ascii="Times New Roman" w:hAnsi="Times New Roman"/>
        </w:rPr>
        <w:t xml:space="preserve">One obvious choice to solve the problem above is to increase number of bits of the PDSCH-to-HARQ feedback timing indicator </w:t>
      </w:r>
      <w:r w:rsidR="00F93067" w:rsidRPr="000F1267">
        <w:rPr>
          <w:rFonts w:ascii="Times New Roman" w:hAnsi="Times New Roman"/>
        </w:rPr>
        <w:t xml:space="preserve">(K1) </w:t>
      </w:r>
      <w:r w:rsidRPr="000F1267">
        <w:rPr>
          <w:rFonts w:ascii="Times New Roman" w:hAnsi="Times New Roman"/>
        </w:rPr>
        <w:t xml:space="preserve">field to a value larger than 3 bits </w:t>
      </w:r>
      <w:r w:rsidRPr="0019517F">
        <w:rPr>
          <w:rFonts w:ascii="Times New Roman" w:hAnsi="Times New Roman"/>
        </w:rPr>
        <w:t>which is currently</w:t>
      </w:r>
      <w:r w:rsidRPr="0080686C">
        <w:rPr>
          <w:rFonts w:ascii="Times New Roman" w:hAnsi="Times New Roman"/>
        </w:rPr>
        <w:t xml:space="preserve"> allowed in Rel. 15. However, this results in constant increase in DCI size, and is not an efficient way of solving the problem. </w:t>
      </w:r>
    </w:p>
    <w:p w14:paraId="1D1C1FDB" w14:textId="1BB2C200" w:rsidR="00AF6D2B" w:rsidRPr="0080686C" w:rsidRDefault="00AF6D2B" w:rsidP="00AF6D2B">
      <w:pPr>
        <w:rPr>
          <w:rFonts w:ascii="Times New Roman" w:hAnsi="Times New Roman"/>
        </w:rPr>
      </w:pPr>
      <w:proofErr w:type="gramStart"/>
      <w:r w:rsidRPr="0080686C">
        <w:rPr>
          <w:rFonts w:ascii="Times New Roman" w:hAnsi="Times New Roman"/>
        </w:rPr>
        <w:t>In light of</w:t>
      </w:r>
      <w:proofErr w:type="gramEnd"/>
      <w:r w:rsidRPr="0080686C">
        <w:rPr>
          <w:rFonts w:ascii="Times New Roman" w:hAnsi="Times New Roman"/>
        </w:rPr>
        <w:t xml:space="preserve"> the agreement achieved in RAN1-AH-1901 on a “reserved” value in the RRC parameter dl-</w:t>
      </w:r>
      <w:proofErr w:type="spellStart"/>
      <w:r w:rsidRPr="0080686C">
        <w:rPr>
          <w:rFonts w:ascii="Times New Roman" w:hAnsi="Times New Roman"/>
        </w:rPr>
        <w:t>DataToUL</w:t>
      </w:r>
      <w:proofErr w:type="spellEnd"/>
      <w:r w:rsidRPr="0080686C">
        <w:rPr>
          <w:rFonts w:ascii="Times New Roman" w:hAnsi="Times New Roman"/>
        </w:rPr>
        <w:t>-ACK that can be signalled by PDSCH-to-HARQ-timing-indicator</w:t>
      </w:r>
      <w:r w:rsidR="00E576EA" w:rsidRPr="0080686C">
        <w:rPr>
          <w:rFonts w:ascii="Times New Roman" w:hAnsi="Times New Roman"/>
        </w:rPr>
        <w:t xml:space="preserve">, we can signal larger HARQ-Ack </w:t>
      </w:r>
      <w:r w:rsidR="00F93067" w:rsidRPr="0080686C">
        <w:rPr>
          <w:rFonts w:ascii="Times New Roman" w:hAnsi="Times New Roman"/>
        </w:rPr>
        <w:t xml:space="preserve">feedback </w:t>
      </w:r>
      <w:r w:rsidR="00E576EA" w:rsidRPr="0080686C">
        <w:rPr>
          <w:rFonts w:ascii="Times New Roman" w:hAnsi="Times New Roman"/>
        </w:rPr>
        <w:t>delay values as follows:</w:t>
      </w:r>
    </w:p>
    <w:p w14:paraId="2B178AD4" w14:textId="69782D22" w:rsidR="00E576EA" w:rsidRPr="0080686C" w:rsidRDefault="00E576EA" w:rsidP="00E576EA">
      <w:pPr>
        <w:pStyle w:val="ListParagraph"/>
        <w:numPr>
          <w:ilvl w:val="0"/>
          <w:numId w:val="71"/>
        </w:numPr>
      </w:pPr>
      <w:r w:rsidRPr="0080686C">
        <w:t>When a reserved value is not indicated by PDSCH-to-HARQ-timing-indicator field, the interpretation of the DCI fields is the same as Rel. 15.</w:t>
      </w:r>
    </w:p>
    <w:p w14:paraId="42685CF3" w14:textId="58AF25D6" w:rsidR="00E576EA" w:rsidRPr="0080686C" w:rsidRDefault="00E576EA" w:rsidP="00E576EA">
      <w:pPr>
        <w:pStyle w:val="ListParagraph"/>
        <w:numPr>
          <w:ilvl w:val="0"/>
          <w:numId w:val="71"/>
        </w:numPr>
      </w:pPr>
      <w:r w:rsidRPr="0080686C">
        <w:t>When a reserved value is indicated by PDSCH-to-HARQ-timing-indicator field</w:t>
      </w:r>
      <w:r w:rsidR="00973FE6" w:rsidRPr="0080686C">
        <w:t xml:space="preserve">, the PRI field is not used </w:t>
      </w:r>
      <w:proofErr w:type="gramStart"/>
      <w:r w:rsidR="00973FE6" w:rsidRPr="0080686C">
        <w:t>for the purpose of</w:t>
      </w:r>
      <w:proofErr w:type="gramEnd"/>
      <w:r w:rsidR="00973FE6" w:rsidRPr="0080686C">
        <w:t xml:space="preserve"> PUCCH resource indication.</w:t>
      </w:r>
    </w:p>
    <w:p w14:paraId="6F5A5437" w14:textId="5044B6F0" w:rsidR="00E576EA" w:rsidRPr="0080686C" w:rsidRDefault="00E576EA" w:rsidP="00E576EA">
      <w:pPr>
        <w:pStyle w:val="ListParagraph"/>
        <w:numPr>
          <w:ilvl w:val="1"/>
          <w:numId w:val="71"/>
        </w:numPr>
      </w:pPr>
      <w:r w:rsidRPr="0080686C">
        <w:t>When the value of PRI field is set to a reserved value (e.g. 000), no timing is indicated in the DCI for the transmission of this HARQ A/N feedback (i.e. original purpose of the agreement).</w:t>
      </w:r>
    </w:p>
    <w:p w14:paraId="772AFE9C" w14:textId="3A149D57" w:rsidR="00E576EA" w:rsidRPr="0080686C" w:rsidRDefault="00E576EA" w:rsidP="00E576EA">
      <w:pPr>
        <w:pStyle w:val="ListParagraph"/>
        <w:numPr>
          <w:ilvl w:val="1"/>
          <w:numId w:val="71"/>
        </w:numPr>
      </w:pPr>
      <w:r w:rsidRPr="0080686C">
        <w:t xml:space="preserve">When the value of the PRI field is not set to the reserved value, the value of PRI is used for indication of HARQ-Ack </w:t>
      </w:r>
      <w:r w:rsidR="00F93067" w:rsidRPr="0080686C">
        <w:t xml:space="preserve">feedback </w:t>
      </w:r>
      <w:r w:rsidRPr="0080686C">
        <w:t>delay</w:t>
      </w:r>
      <w:r w:rsidR="00973FE6" w:rsidRPr="0080686C">
        <w:t xml:space="preserve"> values that are larger than those that are possible to indicate through regular PDSCH-to-HARQ-timing-indicator field.</w:t>
      </w:r>
    </w:p>
    <w:p w14:paraId="67DE2289" w14:textId="3359D585" w:rsidR="00973FE6" w:rsidRPr="00A82B75" w:rsidRDefault="00973FE6" w:rsidP="00973FE6">
      <w:pPr>
        <w:rPr>
          <w:rFonts w:ascii="Times New Roman" w:hAnsi="Times New Roman"/>
        </w:rPr>
      </w:pPr>
      <w:r w:rsidRPr="00A82B75">
        <w:rPr>
          <w:rFonts w:ascii="Times New Roman" w:hAnsi="Times New Roman"/>
        </w:rPr>
        <w:t xml:space="preserve">Note that in both cases above (when a reserved value is indicated by </w:t>
      </w:r>
      <w:r w:rsidRPr="0080686C">
        <w:rPr>
          <w:rFonts w:ascii="Times New Roman" w:hAnsi="Times New Roman"/>
        </w:rPr>
        <w:t>PDSCH-to-HARQ-timing-indicator</w:t>
      </w:r>
      <w:r w:rsidRPr="00A82B75">
        <w:rPr>
          <w:rFonts w:ascii="Times New Roman" w:hAnsi="Times New Roman"/>
        </w:rPr>
        <w:t xml:space="preserve"> field), PRI is most likely not useful as its original purpose. In the case of no timing indication, PUCCH resource selection happens at the time of triggering. In the case of extended HARQ-Ack </w:t>
      </w:r>
      <w:r w:rsidR="00F93067" w:rsidRPr="00A82B75">
        <w:rPr>
          <w:rFonts w:ascii="Times New Roman" w:hAnsi="Times New Roman"/>
        </w:rPr>
        <w:t xml:space="preserve">feedback </w:t>
      </w:r>
      <w:r w:rsidRPr="00A82B75">
        <w:rPr>
          <w:rFonts w:ascii="Times New Roman" w:hAnsi="Times New Roman"/>
        </w:rPr>
        <w:t xml:space="preserve">delay, a later DCI pointing to the same slot for transmission of </w:t>
      </w:r>
      <w:r w:rsidRPr="00A82B75">
        <w:rPr>
          <w:rFonts w:ascii="Times New Roman" w:hAnsi="Times New Roman"/>
        </w:rPr>
        <w:lastRenderedPageBreak/>
        <w:t xml:space="preserve">HARQ A/N feedback indicates the PUCCH resource </w:t>
      </w:r>
      <w:proofErr w:type="gramStart"/>
      <w:r w:rsidRPr="00A82B75">
        <w:rPr>
          <w:rFonts w:ascii="Times New Roman" w:hAnsi="Times New Roman"/>
        </w:rPr>
        <w:t>similar to</w:t>
      </w:r>
      <w:proofErr w:type="gramEnd"/>
      <w:r w:rsidRPr="00A82B75">
        <w:rPr>
          <w:rFonts w:ascii="Times New Roman" w:hAnsi="Times New Roman"/>
        </w:rPr>
        <w:t xml:space="preserve"> Rel. 15 procedures (this is especially true in this case since HARQ-Ack delay is “extended”).</w:t>
      </w:r>
    </w:p>
    <w:p w14:paraId="40A71CE9" w14:textId="5F4AAAA6" w:rsidR="00F93067" w:rsidRDefault="00F93067" w:rsidP="00973FE6">
      <w:r w:rsidRPr="00A82B75">
        <w:rPr>
          <w:rFonts w:ascii="Times New Roman" w:hAnsi="Times New Roman"/>
        </w:rPr>
        <w:t xml:space="preserve">Figure </w:t>
      </w:r>
      <w:r w:rsidR="0071305C">
        <w:rPr>
          <w:rFonts w:ascii="Times New Roman" w:hAnsi="Times New Roman"/>
        </w:rPr>
        <w:t>2</w:t>
      </w:r>
      <w:r w:rsidR="0071305C" w:rsidRPr="00A82B75">
        <w:rPr>
          <w:rFonts w:ascii="Times New Roman" w:hAnsi="Times New Roman"/>
        </w:rPr>
        <w:t xml:space="preserve"> </w:t>
      </w:r>
      <w:r w:rsidRPr="00A82B75">
        <w:rPr>
          <w:rFonts w:ascii="Times New Roman" w:hAnsi="Times New Roman"/>
        </w:rPr>
        <w:t>illustrates the extension of the HARQ-Ack delay as explained above</w:t>
      </w:r>
      <w:r>
        <w:t>.</w:t>
      </w:r>
    </w:p>
    <w:p w14:paraId="715170B7" w14:textId="0A52D0A7" w:rsidR="00F93067" w:rsidRDefault="0080686C" w:rsidP="00A82B75">
      <w:pPr>
        <w:keepNext/>
      </w:pPr>
      <w:r>
        <w:rPr>
          <w:noProof/>
        </w:rPr>
        <w:drawing>
          <wp:inline distT="0" distB="0" distL="0" distR="0" wp14:anchorId="1BFEF2DD" wp14:editId="107BA355">
            <wp:extent cx="6318563" cy="1858527"/>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2077" cy="1874267"/>
                    </a:xfrm>
                    <a:prstGeom prst="rect">
                      <a:avLst/>
                    </a:prstGeom>
                    <a:noFill/>
                  </pic:spPr>
                </pic:pic>
              </a:graphicData>
            </a:graphic>
          </wp:inline>
        </w:drawing>
      </w:r>
    </w:p>
    <w:p w14:paraId="5C5E1B08" w14:textId="24C10C6C" w:rsidR="00F93067" w:rsidRDefault="00F93067" w:rsidP="00A82B75">
      <w:pPr>
        <w:pStyle w:val="Caption"/>
        <w:jc w:val="center"/>
      </w:pPr>
      <w:r>
        <w:t xml:space="preserve">Figure </w:t>
      </w:r>
      <w:r>
        <w:fldChar w:fldCharType="begin"/>
      </w:r>
      <w:r>
        <w:instrText xml:space="preserve"> SEQ Figure \* ARABIC </w:instrText>
      </w:r>
      <w:r>
        <w:fldChar w:fldCharType="separate"/>
      </w:r>
      <w:r w:rsidR="00DF5541">
        <w:rPr>
          <w:noProof/>
        </w:rPr>
        <w:t>2</w:t>
      </w:r>
      <w:r>
        <w:fldChar w:fldCharType="end"/>
      </w:r>
      <w:r>
        <w:t>: Extending the HARQ-Ack feedback delay.</w:t>
      </w:r>
    </w:p>
    <w:p w14:paraId="382D1524" w14:textId="77777777" w:rsidR="0080686C" w:rsidRDefault="0080686C" w:rsidP="00973FE6">
      <w:r>
        <w:rPr>
          <w:rFonts w:ascii="Times New Roman" w:hAnsi="Times New Roman"/>
        </w:rPr>
        <w:t>Note that mapping between the PRI value and HARQ-Ack feedback delay in the case above can be based on an additional RRC parameter containing the set of possible extended delay values.</w:t>
      </w:r>
      <w:r w:rsidR="00F93067">
        <w:t xml:space="preserve"> </w:t>
      </w:r>
    </w:p>
    <w:p w14:paraId="32045FC7" w14:textId="1594C74A" w:rsidR="00973FE6" w:rsidRPr="00E576EA" w:rsidRDefault="0080686C" w:rsidP="00A82B75">
      <w:bookmarkStart w:id="7" w:name="p3"/>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2</w:t>
      </w:r>
      <w:r>
        <w:rPr>
          <w:b/>
          <w:u w:val="single"/>
        </w:rPr>
        <w:fldChar w:fldCharType="end"/>
      </w:r>
      <w:r w:rsidRPr="003C413D">
        <w:rPr>
          <w:b/>
          <w:u w:val="single"/>
        </w:rPr>
        <w:t>:</w:t>
      </w:r>
      <w:r w:rsidRPr="003C413D">
        <w:rPr>
          <w:b/>
        </w:rPr>
        <w:t xml:space="preserve"> </w:t>
      </w:r>
      <w:r>
        <w:rPr>
          <w:b/>
        </w:rPr>
        <w:t>Allow for indication of extended HARQ-</w:t>
      </w:r>
      <w:r w:rsidRPr="00532F59">
        <w:rPr>
          <w:b/>
        </w:rPr>
        <w:t>Ack feedback delay values through PRI field when a reserved value is indicated by PDSCH-to-HARQ-timing-indicator field</w:t>
      </w:r>
      <w:r>
        <w:rPr>
          <w:b/>
        </w:rPr>
        <w:t>.</w:t>
      </w:r>
      <w:r w:rsidR="00F40F3C">
        <w:rPr>
          <w:b/>
        </w:rPr>
        <w:t xml:space="preserve"> </w:t>
      </w:r>
      <w:r w:rsidR="00F40F3C" w:rsidRPr="00532F59">
        <w:rPr>
          <w:b/>
        </w:rPr>
        <w:t xml:space="preserve">The </w:t>
      </w:r>
      <w:r w:rsidR="00532F59" w:rsidRPr="00532F59">
        <w:rPr>
          <w:b/>
        </w:rPr>
        <w:t>PUCCH resource</w:t>
      </w:r>
      <w:r w:rsidR="00F40F3C" w:rsidRPr="00532F59">
        <w:rPr>
          <w:b/>
        </w:rPr>
        <w:t xml:space="preserve"> will be provided by a later DL grant pointing to the same HARQ-Ack transmission time</w:t>
      </w:r>
      <w:r w:rsidR="00532F59" w:rsidRPr="00532F59">
        <w:rPr>
          <w:b/>
        </w:rPr>
        <w:t>.</w:t>
      </w:r>
    </w:p>
    <w:bookmarkEnd w:id="7"/>
    <w:p w14:paraId="3361A9EB" w14:textId="15DCDF13" w:rsidR="001261C1" w:rsidRPr="001261C1" w:rsidRDefault="006314C0" w:rsidP="001261C1">
      <w:pPr>
        <w:pStyle w:val="Heading2"/>
      </w:pPr>
      <w:r>
        <w:t xml:space="preserve">One-shot </w:t>
      </w:r>
      <w:r w:rsidR="00ED36EF">
        <w:t>Group HARQ ACK feedback</w:t>
      </w:r>
    </w:p>
    <w:p w14:paraId="0E344F26" w14:textId="25B88010" w:rsidR="00ED36EF" w:rsidRDefault="00ED36EF" w:rsidP="00ED36EF"/>
    <w:p w14:paraId="07CD14FD" w14:textId="7A6D3A80" w:rsidR="00ED36EF" w:rsidRDefault="000F1267" w:rsidP="00ED36EF">
      <w:r>
        <w:t>As a simple and effective enhancement for transmission of HARQ A/N in NRU, we can</w:t>
      </w:r>
      <w:r w:rsidR="00ED36EF">
        <w:t xml:space="preserve"> have an ACK trigger that causes the UE to transmit the HARQ-ACK bits for all configured HARQ processes, i.e., have a </w:t>
      </w:r>
      <w:r w:rsidR="006314C0">
        <w:t xml:space="preserve">one-shot </w:t>
      </w:r>
      <w:r w:rsidR="00ED36EF">
        <w:t>group HARQ-ACK feedback.</w:t>
      </w:r>
      <w:r>
        <w:t xml:space="preserve"> This can serve the purpose of </w:t>
      </w:r>
      <w:r w:rsidR="00D6648B">
        <w:t xml:space="preserve">both </w:t>
      </w:r>
      <w:r w:rsidRPr="000F1267">
        <w:t>trigger</w:t>
      </w:r>
      <w:r>
        <w:t>ing</w:t>
      </w:r>
      <w:r w:rsidRPr="000F1267">
        <w:t xml:space="preserve"> feedback for PDSCH from earlier COT(s) or additional reporting of earlier HARQ feedback</w:t>
      </w:r>
      <w:r w:rsidR="00ED36EF">
        <w:t xml:space="preserve"> </w:t>
      </w:r>
      <w:r>
        <w:t xml:space="preserve">as discussed during the SI phase (Alt 1b). </w:t>
      </w:r>
      <w:r w:rsidR="00ED36EF">
        <w:t xml:space="preserve">This is shown in </w:t>
      </w:r>
      <w:r w:rsidR="00ED36EF">
        <w:fldChar w:fldCharType="begin"/>
      </w:r>
      <w:r w:rsidR="00ED36EF">
        <w:instrText xml:space="preserve"> REF _Ref513497345 \h </w:instrText>
      </w:r>
      <w:r w:rsidR="00ED36EF">
        <w:fldChar w:fldCharType="separate"/>
      </w:r>
      <w:r w:rsidR="00DF5541">
        <w:t xml:space="preserve">Figure </w:t>
      </w:r>
      <w:r w:rsidR="00DF5541">
        <w:rPr>
          <w:noProof/>
        </w:rPr>
        <w:t>3</w:t>
      </w:r>
      <w:r w:rsidR="00ED36EF">
        <w:fldChar w:fldCharType="end"/>
      </w:r>
      <w:r w:rsidR="00ED36EF">
        <w:t xml:space="preserve">. </w:t>
      </w:r>
    </w:p>
    <w:p w14:paraId="61AAD984" w14:textId="77777777" w:rsidR="00ED36EF" w:rsidRDefault="00ED36EF" w:rsidP="00ED36EF">
      <w:pPr>
        <w:keepNext/>
        <w:jc w:val="center"/>
      </w:pPr>
      <w:r>
        <w:object w:dxaOrig="10888" w:dyaOrig="3366" w14:anchorId="07176116">
          <v:shape id="_x0000_i1026" type="#_x0000_t75" style="width:288.5pt;height:90pt" o:ole="">
            <v:imagedata r:id="rId15" o:title=""/>
          </v:shape>
          <o:OLEObject Type="Embed" ProgID="Visio.Drawing.11" ShapeID="_x0000_i1026" DrawAspect="Content" ObjectID="_1615373194" r:id="rId16"/>
        </w:object>
      </w:r>
    </w:p>
    <w:p w14:paraId="72679237" w14:textId="2E7504F5" w:rsidR="00ED36EF" w:rsidRDefault="00ED36EF" w:rsidP="00ED36EF">
      <w:pPr>
        <w:pStyle w:val="Caption"/>
        <w:jc w:val="center"/>
      </w:pPr>
      <w:bookmarkStart w:id="8" w:name="_Ref513497345"/>
      <w:r>
        <w:t xml:space="preserve">Figure </w:t>
      </w:r>
      <w:r>
        <w:fldChar w:fldCharType="begin"/>
      </w:r>
      <w:r>
        <w:instrText xml:space="preserve"> SEQ Figure \* ARABIC </w:instrText>
      </w:r>
      <w:r>
        <w:fldChar w:fldCharType="separate"/>
      </w:r>
      <w:r w:rsidR="00DF5541">
        <w:rPr>
          <w:noProof/>
        </w:rPr>
        <w:t>3</w:t>
      </w:r>
      <w:r>
        <w:fldChar w:fldCharType="end"/>
      </w:r>
      <w:bookmarkEnd w:id="8"/>
      <w:r>
        <w:t xml:space="preserve">: HARQ ACK Timeline with </w:t>
      </w:r>
      <w:r w:rsidR="006314C0">
        <w:t xml:space="preserve">one-shot </w:t>
      </w:r>
      <w:r>
        <w:t>group HARQ-ACK feedback</w:t>
      </w:r>
    </w:p>
    <w:p w14:paraId="0A612C17" w14:textId="2F964FB4" w:rsidR="00ED36EF" w:rsidRDefault="00ED36EF" w:rsidP="00ED36EF">
      <w:r>
        <w:t>It is desirable to support both kind of solutions in NR – one that leverages the NR PDSCH to HARQ ACK delay field as well as one that uses the one-shot group HARQ ACK feedback. Hence, we have the following proposal:</w:t>
      </w:r>
    </w:p>
    <w:p w14:paraId="4CE5153E" w14:textId="28D81C5F" w:rsidR="00ED36EF" w:rsidRDefault="00ED36EF" w:rsidP="00ED36EF">
      <w:pPr>
        <w:spacing w:after="0"/>
        <w:rPr>
          <w:b/>
        </w:rPr>
      </w:pPr>
      <w:bookmarkStart w:id="9" w:name="p3_1"/>
      <w:r w:rsidRPr="003C413D">
        <w:rPr>
          <w:b/>
          <w:u w:val="single"/>
        </w:rPr>
        <w:t xml:space="preserve">Proposal </w:t>
      </w:r>
      <w:r w:rsidR="0080686C">
        <w:rPr>
          <w:b/>
          <w:u w:val="single"/>
        </w:rPr>
        <w:fldChar w:fldCharType="begin"/>
      </w:r>
      <w:r w:rsidR="0080686C">
        <w:rPr>
          <w:b/>
          <w:u w:val="single"/>
        </w:rPr>
        <w:instrText xml:space="preserve"> seq prop </w:instrText>
      </w:r>
      <w:r w:rsidR="0080686C">
        <w:rPr>
          <w:b/>
          <w:u w:val="single"/>
        </w:rPr>
        <w:fldChar w:fldCharType="separate"/>
      </w:r>
      <w:r w:rsidR="00DF5541">
        <w:rPr>
          <w:b/>
          <w:noProof/>
          <w:u w:val="single"/>
        </w:rPr>
        <w:t>3</w:t>
      </w:r>
      <w:r w:rsidR="0080686C">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 xml:space="preserve">to trigger </w:t>
      </w:r>
      <w:r w:rsidR="006314C0">
        <w:rPr>
          <w:b/>
        </w:rPr>
        <w:t xml:space="preserve">one-shot </w:t>
      </w:r>
      <w:r>
        <w:rPr>
          <w:b/>
        </w:rPr>
        <w:t>group</w:t>
      </w:r>
      <w:r w:rsidRPr="003C413D">
        <w:rPr>
          <w:b/>
        </w:rPr>
        <w:t xml:space="preserve"> HARQ ACK </w:t>
      </w:r>
      <w:r>
        <w:rPr>
          <w:b/>
        </w:rPr>
        <w:t>feedback</w:t>
      </w:r>
      <w:r w:rsidR="00415766">
        <w:rPr>
          <w:b/>
        </w:rPr>
        <w:t xml:space="preserve"> that contains or potentially contain HARQ-ACK feedback</w:t>
      </w:r>
      <w:r>
        <w:rPr>
          <w:b/>
        </w:rPr>
        <w:t xml:space="preserve"> for all configured HARQ processes</w:t>
      </w:r>
    </w:p>
    <w:p w14:paraId="0B6CCFC8" w14:textId="77777777" w:rsidR="00ED36EF" w:rsidRDefault="00ED36EF" w:rsidP="00ED36EF">
      <w:pPr>
        <w:pStyle w:val="ListParagraph"/>
        <w:numPr>
          <w:ilvl w:val="0"/>
          <w:numId w:val="48"/>
        </w:numPr>
        <w:spacing w:after="0"/>
        <w:rPr>
          <w:b/>
        </w:rPr>
      </w:pPr>
      <w:r>
        <w:rPr>
          <w:b/>
        </w:rPr>
        <w:t>A trigger included in the DL PDSCH grant</w:t>
      </w:r>
    </w:p>
    <w:p w14:paraId="686BE07B" w14:textId="77777777" w:rsidR="00ED36EF" w:rsidRDefault="00ED36EF" w:rsidP="00ED36EF">
      <w:pPr>
        <w:pStyle w:val="ListParagraph"/>
        <w:numPr>
          <w:ilvl w:val="0"/>
          <w:numId w:val="48"/>
        </w:numPr>
        <w:spacing w:after="0"/>
        <w:rPr>
          <w:b/>
        </w:rPr>
      </w:pPr>
      <w:r>
        <w:rPr>
          <w:b/>
        </w:rPr>
        <w:t>A trigger included in a PUSCH grant</w:t>
      </w:r>
    </w:p>
    <w:p w14:paraId="0D8FAAB3" w14:textId="49A208A9" w:rsidR="00ED36EF" w:rsidRPr="00393913" w:rsidRDefault="00ED36EF" w:rsidP="00ED36EF">
      <w:pPr>
        <w:pStyle w:val="ListParagraph"/>
        <w:numPr>
          <w:ilvl w:val="0"/>
          <w:numId w:val="48"/>
        </w:numPr>
        <w:spacing w:after="0"/>
        <w:rPr>
          <w:b/>
        </w:rPr>
      </w:pPr>
      <w:r>
        <w:rPr>
          <w:b/>
        </w:rPr>
        <w:t>A separate DCI</w:t>
      </w:r>
    </w:p>
    <w:bookmarkEnd w:id="9"/>
    <w:p w14:paraId="5B944A9A" w14:textId="1535110F" w:rsidR="00ED36EF" w:rsidRDefault="00ED36EF" w:rsidP="00ED36EF">
      <w:r w:rsidRPr="00393913">
        <w:t>A separate DCI could be</w:t>
      </w:r>
      <w:r>
        <w:t xml:space="preserve"> common DCI </w:t>
      </w:r>
      <w:r w:rsidR="00D12E92">
        <w:t xml:space="preserve">triggering feedback for multiple UEs </w:t>
      </w:r>
      <w:r>
        <w:t xml:space="preserve">or a </w:t>
      </w:r>
      <w:r w:rsidRPr="00393913">
        <w:t>UE-specific DCI.</w:t>
      </w:r>
      <w:r>
        <w:t xml:space="preserve"> </w:t>
      </w:r>
      <w:r w:rsidRPr="00393913">
        <w:t xml:space="preserve">Mechanisms to control which HARQ IDs are included in the feedback could be based on a window size included in the DCI (as described </w:t>
      </w:r>
      <w:r w:rsidR="00D12E92">
        <w:t>in subsequent sections</w:t>
      </w:r>
      <w:r w:rsidRPr="00393913">
        <w:t>) or a bitmap which indicates which HARQ IDs to include in the feedback.</w:t>
      </w:r>
    </w:p>
    <w:p w14:paraId="08D9180D" w14:textId="7D3F0218" w:rsidR="004E4DA9" w:rsidRDefault="004E4DA9" w:rsidP="00ED36EF">
      <w:r>
        <w:t xml:space="preserve">One of the challenges </w:t>
      </w:r>
      <w:r w:rsidR="000F15B5">
        <w:t>with the one-shot group HARQ ACK feedback is that gNB and UE may not be in sync on</w:t>
      </w:r>
      <w:r w:rsidR="006314C0">
        <w:t xml:space="preserve"> feedback for</w:t>
      </w:r>
      <w:r w:rsidR="000F15B5">
        <w:t xml:space="preserve"> a </w:t>
      </w:r>
      <w:proofErr w:type="gramStart"/>
      <w:r w:rsidR="000F15B5">
        <w:t>particular HARQ ID</w:t>
      </w:r>
      <w:proofErr w:type="gramEnd"/>
      <w:r w:rsidR="000F15B5">
        <w:t xml:space="preserve"> if UE misses the corresponding PDCCH</w:t>
      </w:r>
      <w:r w:rsidR="005F09B4">
        <w:t xml:space="preserve"> as is shown in the figure below</w:t>
      </w:r>
      <w:r w:rsidR="000F15B5">
        <w:t>.</w:t>
      </w:r>
      <w:r w:rsidR="005F09B4">
        <w:t xml:space="preserve"> </w:t>
      </w:r>
    </w:p>
    <w:p w14:paraId="068F1CB2" w14:textId="77777777" w:rsidR="006314C0" w:rsidRDefault="005F09B4" w:rsidP="001B4381">
      <w:pPr>
        <w:keepNext/>
        <w:jc w:val="center"/>
      </w:pPr>
      <w:r>
        <w:object w:dxaOrig="14668" w:dyaOrig="7189" w14:anchorId="6436189D">
          <v:shape id="_x0000_i1027" type="#_x0000_t75" style="width:420pt;height:206.5pt" o:ole="">
            <v:imagedata r:id="rId17" o:title=""/>
          </v:shape>
          <o:OLEObject Type="Embed" ProgID="Visio.Drawing.11" ShapeID="_x0000_i1027" DrawAspect="Content" ObjectID="_1615373195" r:id="rId18"/>
        </w:object>
      </w:r>
    </w:p>
    <w:p w14:paraId="2EEFE847" w14:textId="4626AC24" w:rsidR="005F09B4" w:rsidRDefault="006314C0" w:rsidP="001B4381">
      <w:pPr>
        <w:pStyle w:val="Caption"/>
        <w:jc w:val="center"/>
      </w:pPr>
      <w:r>
        <w:t xml:space="preserve">Figure </w:t>
      </w:r>
      <w:r>
        <w:fldChar w:fldCharType="begin"/>
      </w:r>
      <w:r>
        <w:instrText xml:space="preserve"> SEQ Figure \* ARABIC </w:instrText>
      </w:r>
      <w:r>
        <w:fldChar w:fldCharType="separate"/>
      </w:r>
      <w:r w:rsidR="00DF5541">
        <w:rPr>
          <w:noProof/>
        </w:rPr>
        <w:t>4</w:t>
      </w:r>
      <w:r>
        <w:fldChar w:fldCharType="end"/>
      </w:r>
      <w:r>
        <w:t>: ACK feedback mis-alignment between gNB and UE for one-shot group HARQ-ACK feedback on PDCCH misdetection</w:t>
      </w:r>
    </w:p>
    <w:p w14:paraId="0FEABA91" w14:textId="58FA2325" w:rsidR="005F09B4" w:rsidRDefault="005F09B4" w:rsidP="00ED36EF">
      <w:r>
        <w:t>As is seen in the figure, including the HARQ feedback of previous instance of that HARQ-ID</w:t>
      </w:r>
      <w:r w:rsidR="003F2767">
        <w:t xml:space="preserve"> in case of PDCCH misdetections</w:t>
      </w:r>
      <w:r>
        <w:t xml:space="preserve"> leads to mismatch in gNB and UE</w:t>
      </w:r>
      <w:r w:rsidR="003F2767">
        <w:t xml:space="preserve"> on the HARQ </w:t>
      </w:r>
      <w:r w:rsidR="006314C0">
        <w:t xml:space="preserve">ACK </w:t>
      </w:r>
      <w:r w:rsidR="003F2767">
        <w:t>feedback</w:t>
      </w:r>
      <w:r>
        <w:t xml:space="preserve">. One solution for this problem is for UE to report NACK for a HARQ-ID for which it has already reported ACK feedback. However, such a solution doesn’t lend itself to requesting ACK feedback multiple times from the UE in case of </w:t>
      </w:r>
      <w:r w:rsidR="006314C0">
        <w:t xml:space="preserve">HARQ-ACK feedback </w:t>
      </w:r>
      <w:r>
        <w:t xml:space="preserve">detection issues at gNB. Including the NDI bits of the HARQ process as part of the HARQ-ACK feedback by the UE solves this problem while also allowing re-request of same HARQ-ACK feedback to address detection issues at gNB. </w:t>
      </w:r>
      <w:r w:rsidR="003F2767">
        <w:t xml:space="preserve">Similarly including the NDI bits in the </w:t>
      </w:r>
      <w:r w:rsidR="006314C0">
        <w:t xml:space="preserve">one-shot group </w:t>
      </w:r>
      <w:r w:rsidR="003F2767">
        <w:t>HARQ-ACK request trigger also solves the problem. However, doing this may not be feasible in all cases such as when the trigger in included in the DL/UL grants</w:t>
      </w:r>
      <w:r w:rsidR="006314C0">
        <w:t xml:space="preserve"> due to the overhead in the DCI</w:t>
      </w:r>
      <w:r w:rsidR="003F2767">
        <w:t xml:space="preserve">. </w:t>
      </w:r>
      <w:r>
        <w:t>We thus make the following proposal:</w:t>
      </w:r>
    </w:p>
    <w:p w14:paraId="1FA3650A" w14:textId="1E34DA53" w:rsidR="003F2767" w:rsidRDefault="003F2767" w:rsidP="00ED36EF">
      <w:pPr>
        <w:rPr>
          <w:b/>
        </w:rPr>
      </w:pPr>
      <w:bookmarkStart w:id="10" w:name="p4"/>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4</w:t>
      </w:r>
      <w:r>
        <w:rPr>
          <w:b/>
          <w:u w:val="single"/>
        </w:rPr>
        <w:fldChar w:fldCharType="end"/>
      </w:r>
      <w:r w:rsidRPr="003C413D">
        <w:rPr>
          <w:b/>
          <w:u w:val="single"/>
        </w:rPr>
        <w:t>:</w:t>
      </w:r>
      <w:r w:rsidRPr="003C413D">
        <w:rPr>
          <w:b/>
        </w:rPr>
        <w:t xml:space="preserve"> </w:t>
      </w:r>
      <w:r w:rsidR="00292260">
        <w:rPr>
          <w:b/>
        </w:rPr>
        <w:t xml:space="preserve">If the </w:t>
      </w:r>
      <w:r w:rsidR="00A543CE">
        <w:rPr>
          <w:b/>
        </w:rPr>
        <w:t xml:space="preserve">trigger </w:t>
      </w:r>
      <w:r w:rsidR="00292260">
        <w:rPr>
          <w:b/>
        </w:rPr>
        <w:t>is included in the DL/UL grants, s</w:t>
      </w:r>
      <w:r>
        <w:rPr>
          <w:b/>
        </w:rPr>
        <w:t xml:space="preserve">upport including NDI bits in the </w:t>
      </w:r>
      <w:r w:rsidR="006314C0">
        <w:rPr>
          <w:b/>
        </w:rPr>
        <w:t xml:space="preserve">one-shot group </w:t>
      </w:r>
      <w:r>
        <w:rPr>
          <w:b/>
        </w:rPr>
        <w:t>HARQ-ACK feedback</w:t>
      </w:r>
      <w:r w:rsidR="00292260">
        <w:rPr>
          <w:b/>
        </w:rPr>
        <w:t xml:space="preserve">. If the trigger is a separate DCI, support including NDI bits </w:t>
      </w:r>
      <w:r w:rsidR="00233DCC">
        <w:rPr>
          <w:b/>
        </w:rPr>
        <w:t>in the DCI.</w:t>
      </w:r>
    </w:p>
    <w:bookmarkEnd w:id="10"/>
    <w:p w14:paraId="233A1820" w14:textId="7E2E9B15" w:rsidR="001D5CC7" w:rsidRDefault="001D5CC7" w:rsidP="001D5CC7">
      <w:r>
        <w:t xml:space="preserve">CBG level </w:t>
      </w:r>
      <w:r w:rsidR="006314C0">
        <w:t>HARQ-ACK</w:t>
      </w:r>
      <w:r>
        <w:t xml:space="preserve"> feedback was introduced in NR. In NR-U much more variations in the time domain interference are expected and hence this feature is expected to be even more helpful. However, due to the larger payload size one could consider compression schemes to reduce the payload size. </w:t>
      </w:r>
    </w:p>
    <w:p w14:paraId="7C073666" w14:textId="70C893C3" w:rsidR="001D5CC7" w:rsidRPr="001B4381" w:rsidRDefault="001D5CC7" w:rsidP="001D5CC7">
      <w:bookmarkStart w:id="11" w:name="p5"/>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5</w:t>
      </w:r>
      <w:r>
        <w:rPr>
          <w:b/>
          <w:u w:val="single"/>
        </w:rPr>
        <w:fldChar w:fldCharType="end"/>
      </w:r>
      <w:r w:rsidRPr="003C413D">
        <w:rPr>
          <w:b/>
          <w:u w:val="single"/>
        </w:rPr>
        <w:t>:</w:t>
      </w:r>
      <w:r w:rsidRPr="003C413D">
        <w:rPr>
          <w:b/>
        </w:rPr>
        <w:t xml:space="preserve"> </w:t>
      </w:r>
      <w:r>
        <w:rPr>
          <w:b/>
        </w:rPr>
        <w:t xml:space="preserve">The </w:t>
      </w:r>
      <w:r w:rsidR="006314C0">
        <w:rPr>
          <w:b/>
        </w:rPr>
        <w:t xml:space="preserve">one-shot </w:t>
      </w:r>
      <w:r>
        <w:rPr>
          <w:b/>
        </w:rPr>
        <w:t xml:space="preserve">group HARQ-ACK feedback should also support CBG level </w:t>
      </w:r>
      <w:r w:rsidR="006314C0">
        <w:rPr>
          <w:b/>
        </w:rPr>
        <w:t xml:space="preserve">HARQ-ACK </w:t>
      </w:r>
      <w:r>
        <w:rPr>
          <w:b/>
        </w:rPr>
        <w:t>feedback</w:t>
      </w:r>
      <w:bookmarkEnd w:id="11"/>
    </w:p>
    <w:p w14:paraId="2680F7BA" w14:textId="61D3B9E0" w:rsidR="001D5CC7" w:rsidRPr="006B1617" w:rsidRDefault="001D5CC7" w:rsidP="001D5CC7">
      <w:pPr>
        <w:rPr>
          <w:b/>
        </w:rPr>
      </w:pPr>
      <w:bookmarkStart w:id="12" w:name="p6"/>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DF5541">
        <w:rPr>
          <w:b/>
          <w:noProof/>
          <w:u w:val="single"/>
        </w:rPr>
        <w:t>6</w:t>
      </w:r>
      <w:r w:rsidRPr="006B1617">
        <w:rPr>
          <w:b/>
          <w:u w:val="single"/>
        </w:rPr>
        <w:fldChar w:fldCharType="end"/>
      </w:r>
      <w:r w:rsidRPr="006B1617">
        <w:rPr>
          <w:b/>
          <w:u w:val="single"/>
        </w:rPr>
        <w:t>:</w:t>
      </w:r>
      <w:r w:rsidRPr="006B1617">
        <w:rPr>
          <w:b/>
        </w:rPr>
        <w:t xml:space="preserve"> </w:t>
      </w:r>
      <w:r>
        <w:rPr>
          <w:b/>
        </w:rPr>
        <w:t xml:space="preserve">Introduce compression schemes to reduce the </w:t>
      </w:r>
      <w:r w:rsidR="006314C0">
        <w:rPr>
          <w:b/>
        </w:rPr>
        <w:t>HARQ-</w:t>
      </w:r>
      <w:r>
        <w:rPr>
          <w:b/>
        </w:rPr>
        <w:t xml:space="preserve">ACK feedback overhead for CBG based </w:t>
      </w:r>
      <w:r w:rsidR="006314C0">
        <w:rPr>
          <w:b/>
        </w:rPr>
        <w:t xml:space="preserve">one-shot </w:t>
      </w:r>
      <w:r>
        <w:rPr>
          <w:b/>
        </w:rPr>
        <w:t>group HARQ</w:t>
      </w:r>
      <w:r w:rsidR="006314C0">
        <w:rPr>
          <w:b/>
        </w:rPr>
        <w:t>-</w:t>
      </w:r>
      <w:r>
        <w:rPr>
          <w:b/>
        </w:rPr>
        <w:t>ACK feedback</w:t>
      </w:r>
    </w:p>
    <w:bookmarkEnd w:id="12"/>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366F959C" w:rsidR="00ED36EF" w:rsidRDefault="00ED36EF" w:rsidP="00ED36EF">
      <w:pPr>
        <w:pStyle w:val="ListParagraph"/>
        <w:numPr>
          <w:ilvl w:val="0"/>
          <w:numId w:val="37"/>
        </w:numPr>
      </w:pPr>
      <w:r>
        <w:t xml:space="preserve">In semi-static mode the ACK codebook size is determined based on the maximum number of TBs across cells and </w:t>
      </w:r>
      <w:r w:rsidR="00394326">
        <w:t xml:space="preserve">PDSCH </w:t>
      </w:r>
      <w:r>
        <w:t>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 xml:space="preserve">In dynamic mode the ACK codebook size is determined based on the number of </w:t>
      </w:r>
      <w:proofErr w:type="gramStart"/>
      <w:r>
        <w:t>actually received</w:t>
      </w:r>
      <w:proofErr w:type="gramEnd"/>
      <w:r>
        <w:t xml:space="preserve"> DCIs pointing to the same ACK slot. To make this robust to missed and false DCI detections, a counter DAI and total DAI field is introduced in the DCI.</w:t>
      </w:r>
    </w:p>
    <w:p w14:paraId="7EBF21CF" w14:textId="7516CE36" w:rsidR="00ED36EF" w:rsidRDefault="00ED36EF" w:rsidP="00ED36EF">
      <w:r>
        <w:t>We continue to see benefits to support both these modes and propose that both be supported.</w:t>
      </w:r>
    </w:p>
    <w:p w14:paraId="0AFDFA73" w14:textId="4D687020" w:rsidR="005A44B7" w:rsidRDefault="005A44B7" w:rsidP="009A35AA">
      <w:pPr>
        <w:pStyle w:val="Heading3"/>
      </w:pPr>
      <w:r>
        <w:rPr>
          <w:lang w:val="en-US"/>
        </w:rPr>
        <w:t xml:space="preserve">Enhancement </w:t>
      </w:r>
      <w:r w:rsidR="00D84D84">
        <w:rPr>
          <w:lang w:val="en-US"/>
        </w:rPr>
        <w:t xml:space="preserve">applicable </w:t>
      </w:r>
      <w:r>
        <w:rPr>
          <w:lang w:val="en-US"/>
        </w:rPr>
        <w:t>for “semi-static” codebook size</w:t>
      </w:r>
    </w:p>
    <w:p w14:paraId="0580F12C" w14:textId="1B8A09BC" w:rsidR="00ED36EF" w:rsidRDefault="00ED36EF" w:rsidP="00ED36EF">
      <w:r>
        <w:t>In the current NR design for HARQ ACK codebook size determination, if the supported delays are from {</w:t>
      </w:r>
      <w:proofErr w:type="gramStart"/>
      <w:r>
        <w:t>1,2,..</w:t>
      </w:r>
      <w:proofErr w:type="gramEnd"/>
      <w:r>
        <w:t xml:space="preserve">,8} the ACK codebook size would be </w:t>
      </w:r>
      <w:r w:rsidR="00F969A7">
        <w:t xml:space="preserve">in the order of </w:t>
      </w:r>
      <w:r>
        <w:t>8 x #ACK bits for one TB</w:t>
      </w:r>
      <w:r w:rsidR="00F969A7">
        <w:t xml:space="preserve"> x </w:t>
      </w:r>
      <w:r w:rsidR="00C85C87">
        <w:t xml:space="preserve">max </w:t>
      </w:r>
      <w:r w:rsidR="00F969A7">
        <w:t xml:space="preserve">number of TB per </w:t>
      </w:r>
      <w:r w:rsidR="00394326">
        <w:t xml:space="preserve">slot </w:t>
      </w:r>
      <w:r w:rsidR="00F969A7">
        <w:t>x Number of configured carriers</w:t>
      </w:r>
      <w:r>
        <w:t xml:space="preserve">.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8" type="#_x0000_t75" style="width:176.5pt;height:249pt" o:ole="">
            <v:imagedata r:id="rId19" o:title=""/>
          </v:shape>
          <o:OLEObject Type="Embed" ProgID="Visio.Drawing.11" ShapeID="_x0000_i1028" DrawAspect="Content" ObjectID="_1615373196" r:id="rId20"/>
        </w:object>
      </w:r>
    </w:p>
    <w:p w14:paraId="217E37C4" w14:textId="6CEEAE4D" w:rsidR="00ED36EF" w:rsidRPr="003C413D" w:rsidRDefault="00ED36EF" w:rsidP="00ED36EF">
      <w:pPr>
        <w:pStyle w:val="Caption"/>
        <w:jc w:val="center"/>
      </w:pPr>
      <w:bookmarkStart w:id="13" w:name="_Ref513498825"/>
      <w:r>
        <w:t xml:space="preserve">Figure </w:t>
      </w:r>
      <w:r>
        <w:fldChar w:fldCharType="begin"/>
      </w:r>
      <w:r>
        <w:instrText xml:space="preserve"> SEQ Figure \* ARABIC </w:instrText>
      </w:r>
      <w:r>
        <w:fldChar w:fldCharType="separate"/>
      </w:r>
      <w:r w:rsidR="00DF5541">
        <w:rPr>
          <w:noProof/>
        </w:rPr>
        <w:t>5</w:t>
      </w:r>
      <w:r>
        <w:fldChar w:fldCharType="end"/>
      </w:r>
      <w:bookmarkEnd w:id="13"/>
      <w:r>
        <w:t>: Dynamic adaptation of max delay for ACK codebook size determination</w:t>
      </w:r>
    </w:p>
    <w:p w14:paraId="022E1ADF" w14:textId="310DD11D"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DF5541">
        <w:t xml:space="preserve">Figure </w:t>
      </w:r>
      <w:r w:rsidR="00DF5541">
        <w:rPr>
          <w:noProof/>
        </w:rPr>
        <w:t>5</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3DC9871F" w14:textId="202982E0" w:rsidR="00ED36EF" w:rsidRDefault="00ED36EF" w:rsidP="00ED36EF">
      <w:pPr>
        <w:rPr>
          <w:b/>
        </w:rPr>
      </w:pPr>
      <w:bookmarkStart w:id="14" w:name="p7"/>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7</w:t>
      </w:r>
      <w:r>
        <w:rPr>
          <w:b/>
          <w:u w:val="single"/>
        </w:rPr>
        <w:fldChar w:fldCharType="end"/>
      </w:r>
      <w:r w:rsidRPr="00862899">
        <w:rPr>
          <w:b/>
          <w:u w:val="single"/>
        </w:rPr>
        <w:t>:</w:t>
      </w:r>
      <w:r w:rsidRPr="00862899">
        <w:rPr>
          <w:b/>
        </w:rPr>
        <w:t xml:space="preserve"> Introduce a new field in the </w:t>
      </w:r>
      <w:r w:rsidR="00EE59E6">
        <w:rPr>
          <w:b/>
        </w:rPr>
        <w:t>DL grant</w:t>
      </w:r>
      <w:r w:rsidR="00EE59E6" w:rsidRPr="00862899">
        <w:rPr>
          <w:b/>
        </w:rPr>
        <w:t xml:space="preserve"> </w:t>
      </w:r>
      <w:r w:rsidRPr="00862899">
        <w:rPr>
          <w:b/>
        </w:rPr>
        <w:t xml:space="preserve">that controls the max delay considered in </w:t>
      </w:r>
      <w:r>
        <w:rPr>
          <w:b/>
        </w:rPr>
        <w:t xml:space="preserve">semi-static </w:t>
      </w:r>
      <w:r w:rsidRPr="00862899">
        <w:rPr>
          <w:b/>
        </w:rPr>
        <w:t>HARQ ACK codebook size determination</w:t>
      </w:r>
      <w:r>
        <w:rPr>
          <w:b/>
        </w:rPr>
        <w:t>.</w:t>
      </w:r>
      <w:bookmarkEnd w:id="14"/>
      <w:r>
        <w:rPr>
          <w:b/>
        </w:rPr>
        <w:t xml:space="preserve"> </w:t>
      </w:r>
    </w:p>
    <w:p w14:paraId="324DE72B" w14:textId="12152BB5" w:rsidR="006E57EF" w:rsidRPr="009A35AA" w:rsidRDefault="00992478" w:rsidP="00ED36EF">
      <w:r w:rsidRPr="009A35AA">
        <w:t xml:space="preserve">In multi-carrier case where LBT is done independently on each carrier, the NR-U gNB may be able to obtain the medium only on a subset of carriers. Indicating the carriers available for use by the gNB in the </w:t>
      </w:r>
      <w:r w:rsidR="00F969A7">
        <w:t xml:space="preserve">DL </w:t>
      </w:r>
      <w:r w:rsidRPr="009A35AA">
        <w:t>DCI would help reduce the ACK overhead significantly. We hence make the following proposal</w:t>
      </w:r>
      <w:r w:rsidR="00F969A7">
        <w:t>:</w:t>
      </w:r>
    </w:p>
    <w:p w14:paraId="07EB5148" w14:textId="7FE60C32" w:rsidR="00992478" w:rsidRDefault="00992478" w:rsidP="00992478">
      <w:pPr>
        <w:rPr>
          <w:b/>
        </w:rPr>
      </w:pPr>
      <w:bookmarkStart w:id="15" w:name="p8"/>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8</w:t>
      </w:r>
      <w:r>
        <w:rPr>
          <w:b/>
          <w:u w:val="single"/>
        </w:rPr>
        <w:fldChar w:fldCharType="end"/>
      </w:r>
      <w:r w:rsidRPr="00862899">
        <w:rPr>
          <w:b/>
          <w:u w:val="single"/>
        </w:rPr>
        <w:t>:</w:t>
      </w:r>
      <w:r w:rsidRPr="00862899">
        <w:rPr>
          <w:b/>
        </w:rPr>
        <w:t xml:space="preserve"> Introduce a new field in the </w:t>
      </w:r>
      <w:r w:rsidR="00EE59E6">
        <w:rPr>
          <w:b/>
        </w:rPr>
        <w:t>DL grant</w:t>
      </w:r>
      <w:r w:rsidRPr="00862899">
        <w:rPr>
          <w:b/>
        </w:rPr>
        <w:t xml:space="preserve"> that </w:t>
      </w:r>
      <w:r>
        <w:rPr>
          <w:b/>
        </w:rPr>
        <w:t>indicates the carriers</w:t>
      </w:r>
      <w:r w:rsidR="000F0A6C">
        <w:rPr>
          <w:b/>
        </w:rPr>
        <w:t xml:space="preserve"> to consider for codebook size determination</w:t>
      </w:r>
      <w:r>
        <w:rPr>
          <w:b/>
        </w:rPr>
        <w:t xml:space="preserve">. </w:t>
      </w:r>
    </w:p>
    <w:bookmarkEnd w:id="15"/>
    <w:p w14:paraId="647BB6C9" w14:textId="7FA312D3" w:rsidR="005A44B7" w:rsidRDefault="005A44B7" w:rsidP="005A44B7">
      <w:pPr>
        <w:pStyle w:val="Heading3"/>
      </w:pPr>
      <w:r>
        <w:rPr>
          <w:lang w:val="en-US"/>
        </w:rPr>
        <w:t xml:space="preserve">Enhancement </w:t>
      </w:r>
      <w:r w:rsidR="00D84D84">
        <w:rPr>
          <w:lang w:val="en-US"/>
        </w:rPr>
        <w:t>applicable for both</w:t>
      </w:r>
      <w:r>
        <w:rPr>
          <w:lang w:val="en-US"/>
        </w:rPr>
        <w:t xml:space="preserve"> </w:t>
      </w:r>
      <w:r w:rsidR="00D84D84">
        <w:rPr>
          <w:lang w:val="en-US"/>
        </w:rPr>
        <w:t xml:space="preserve">“semi-static” and </w:t>
      </w:r>
      <w:r>
        <w:rPr>
          <w:lang w:val="en-US"/>
        </w:rPr>
        <w:t>dynamic codebook size</w:t>
      </w:r>
    </w:p>
    <w:p w14:paraId="5E8D0EC0" w14:textId="25DE20A8" w:rsidR="005A44B7" w:rsidRPr="009A35AA" w:rsidRDefault="00D84D84" w:rsidP="00ED36EF">
      <w:r w:rsidRPr="009A35AA">
        <w:t>We</w:t>
      </w:r>
      <w:r w:rsidR="005A44B7" w:rsidRPr="009A35AA">
        <w:t xml:space="preserve"> define all ACKs that correspond to the same PUCCH resource </w:t>
      </w:r>
      <w:proofErr w:type="gramStart"/>
      <w:r w:rsidR="005A44B7" w:rsidRPr="009A35AA">
        <w:t>by virtue of</w:t>
      </w:r>
      <w:proofErr w:type="gramEnd"/>
      <w:r w:rsidR="005A44B7" w:rsidRPr="009A35AA">
        <w:t xml:space="preserve"> the PDSCH-to-ACK delay field pointing to that PUCCH resource to belong to a particular </w:t>
      </w:r>
      <w:r w:rsidRPr="009A35AA">
        <w:t>ACK-Feedback-G</w:t>
      </w:r>
      <w:r w:rsidR="005A44B7" w:rsidRPr="009A35AA">
        <w:t xml:space="preserve">roup. </w:t>
      </w:r>
      <w:proofErr w:type="gramStart"/>
      <w:r w:rsidR="005A44B7" w:rsidRPr="009A35AA">
        <w:t>In order to</w:t>
      </w:r>
      <w:proofErr w:type="gramEnd"/>
      <w:r w:rsidR="005A44B7" w:rsidRPr="009A35AA">
        <w:t xml:space="preserve"> provide multiple time domain opportunities for ACK feedback we propose </w:t>
      </w:r>
      <w:r w:rsidR="00C90213" w:rsidRPr="009A35AA">
        <w:t xml:space="preserve">introducing mechanisms for UE to derive </w:t>
      </w:r>
      <w:r w:rsidR="005A44B7" w:rsidRPr="009A35AA">
        <w:t xml:space="preserve">the following fields </w:t>
      </w:r>
      <w:r w:rsidR="00C90213" w:rsidRPr="009A35AA">
        <w:t>from</w:t>
      </w:r>
      <w:r w:rsidR="005A44B7" w:rsidRPr="009A35AA">
        <w:t xml:space="preserve"> the DCI</w:t>
      </w:r>
      <w:r w:rsidR="00C90213" w:rsidRPr="009A35AA">
        <w:t xml:space="preserve">. </w:t>
      </w:r>
    </w:p>
    <w:p w14:paraId="7ADF1D10" w14:textId="77777777" w:rsidR="00DD3A2E" w:rsidRPr="009A35AA" w:rsidRDefault="005A44B7" w:rsidP="005A44B7">
      <w:pPr>
        <w:pStyle w:val="ListParagraph"/>
        <w:numPr>
          <w:ilvl w:val="0"/>
          <w:numId w:val="66"/>
        </w:numPr>
      </w:pPr>
      <w:r w:rsidRPr="009A35AA">
        <w:t>Current ACK-Feedback-Group index</w:t>
      </w:r>
      <w:r w:rsidR="00C90213" w:rsidRPr="009A35AA">
        <w:t xml:space="preserve">. </w:t>
      </w:r>
    </w:p>
    <w:p w14:paraId="4C2BBF07" w14:textId="33B907C2" w:rsidR="00C90213" w:rsidRPr="009A35AA" w:rsidRDefault="00C85C87" w:rsidP="005A44B7">
      <w:pPr>
        <w:pStyle w:val="ListParagraph"/>
        <w:numPr>
          <w:ilvl w:val="0"/>
          <w:numId w:val="66"/>
        </w:numPr>
      </w:pPr>
      <w:r>
        <w:t>Indicator for</w:t>
      </w:r>
      <w:r w:rsidR="005A44B7" w:rsidRPr="009A35AA">
        <w:t xml:space="preserve"> </w:t>
      </w:r>
      <w:r w:rsidR="00EE59E6">
        <w:t>additional</w:t>
      </w:r>
      <w:r w:rsidR="005A44B7" w:rsidRPr="009A35AA">
        <w:t xml:space="preserve"> ACK-Feedback-Group</w:t>
      </w:r>
      <w:r w:rsidR="00D167E6">
        <w:t>(s)</w:t>
      </w:r>
      <w:r w:rsidR="005A44B7" w:rsidRPr="009A35AA">
        <w:t xml:space="preserve"> to include along with the current ACK feedback</w:t>
      </w:r>
      <w:r>
        <w:t xml:space="preserve"> (e.g. bitmap, index of another ACK-Feedback-Group)</w:t>
      </w:r>
    </w:p>
    <w:p w14:paraId="2C2AF70B" w14:textId="77777777" w:rsidR="00C85C87" w:rsidRDefault="00C90213" w:rsidP="005A44B7">
      <w:pPr>
        <w:pStyle w:val="ListParagraph"/>
        <w:numPr>
          <w:ilvl w:val="0"/>
          <w:numId w:val="66"/>
        </w:numPr>
      </w:pPr>
      <w:r w:rsidRPr="009A35AA">
        <w:t xml:space="preserve">A </w:t>
      </w:r>
      <w:r w:rsidR="00653932" w:rsidRPr="009A35AA">
        <w:t xml:space="preserve">New </w:t>
      </w:r>
      <w:r w:rsidR="006E57EF" w:rsidRPr="009A35AA">
        <w:t xml:space="preserve">Ack-Feedback </w:t>
      </w:r>
      <w:r w:rsidR="00653932" w:rsidRPr="009A35AA">
        <w:t>Group Indicator (NGI)</w:t>
      </w:r>
      <w:r w:rsidRPr="009A35AA">
        <w:t xml:space="preserve"> bit for each </w:t>
      </w:r>
      <w:r w:rsidR="00D84D84" w:rsidRPr="009A35AA">
        <w:t>ACK-Feedback-G</w:t>
      </w:r>
      <w:r w:rsidRPr="009A35AA">
        <w:t xml:space="preserve">roup. </w:t>
      </w:r>
    </w:p>
    <w:p w14:paraId="17DDC524" w14:textId="6DD2D31B" w:rsidR="004327B2" w:rsidRPr="009A35AA" w:rsidRDefault="00C90213" w:rsidP="009A35AA">
      <w:r w:rsidRPr="009A35AA">
        <w:t>Th</w:t>
      </w:r>
      <w:r w:rsidR="00C85C87">
        <w:t>e NGI bits</w:t>
      </w:r>
      <w:r w:rsidRPr="009A35AA">
        <w:t xml:space="preserve"> </w:t>
      </w:r>
      <w:r w:rsidR="00C85C87">
        <w:t>have been proposed</w:t>
      </w:r>
      <w:r w:rsidR="004327B2" w:rsidRPr="009A35AA">
        <w:t xml:space="preserve"> to make the system robust in cases where UE misses all PDCCHs corresponding to the same </w:t>
      </w:r>
      <w:r w:rsidR="00C85C87">
        <w:t>ACK-Feedback-G</w:t>
      </w:r>
      <w:r w:rsidR="004327B2" w:rsidRPr="009A35AA">
        <w:t>roup</w:t>
      </w:r>
      <w:r w:rsidR="00C85C87">
        <w:t xml:space="preserve"> and would operate </w:t>
      </w:r>
      <w:r w:rsidR="00D167E6">
        <w:t xml:space="preserve">in a manner </w:t>
      </w:r>
      <w:proofErr w:type="gramStart"/>
      <w:r w:rsidR="00C85C87">
        <w:t>similar to</w:t>
      </w:r>
      <w:proofErr w:type="gramEnd"/>
      <w:r w:rsidR="00C85C87">
        <w:t xml:space="preserve"> the NDI bits used for HARQ operation</w:t>
      </w:r>
      <w:r w:rsidR="00653932" w:rsidRPr="009A35AA">
        <w:t>.</w:t>
      </w:r>
      <w:r w:rsidR="005A44B7" w:rsidRPr="009A35AA">
        <w:t xml:space="preserve"> </w:t>
      </w:r>
      <w:r w:rsidR="00653932" w:rsidRPr="009A35AA">
        <w:t>UE will replace the ACK/NACK information</w:t>
      </w:r>
      <w:r w:rsidR="00C85C87">
        <w:t xml:space="preserve"> corresponding to an ACK-Feedback-Group</w:t>
      </w:r>
      <w:r w:rsidR="00653932" w:rsidRPr="009A35AA">
        <w:t xml:space="preserve"> with new ACK/NACK information if it receives the PDCCH with same NGI for th</w:t>
      </w:r>
      <w:r w:rsidR="00D84D84" w:rsidRPr="009A35AA">
        <w:t>e current ACK-Feedback-G</w:t>
      </w:r>
      <w:r w:rsidR="00653932" w:rsidRPr="009A35AA">
        <w:t>roup</w:t>
      </w:r>
      <w:r w:rsidR="00D84D84" w:rsidRPr="009A35AA">
        <w:t>.</w:t>
      </w:r>
      <w:r w:rsidR="00C85C87">
        <w:t xml:space="preserve"> </w:t>
      </w:r>
      <w:r w:rsidR="00653932" w:rsidRPr="009A35AA">
        <w:t xml:space="preserve">UE will report the ACK NACK feedback for the additional groups only if the NGI in the DCI matches the last received NGI for that </w:t>
      </w:r>
      <w:r w:rsidR="00D84D84" w:rsidRPr="009A35AA">
        <w:t>group</w:t>
      </w:r>
      <w:r w:rsidR="004327B2" w:rsidRPr="009A35AA">
        <w:t>. If the NGI does not match</w:t>
      </w:r>
      <w:r w:rsidR="00D84D84" w:rsidRPr="009A35AA">
        <w:t>, which will likely only occur if it misses all previous PDCCHs of that group,</w:t>
      </w:r>
      <w:r w:rsidR="004327B2" w:rsidRPr="009A35AA">
        <w:t xml:space="preserve"> it will send all NACKs. </w:t>
      </w:r>
    </w:p>
    <w:p w14:paraId="4BAB0E38" w14:textId="4F5D485E" w:rsidR="00076566" w:rsidRPr="003A47CB" w:rsidRDefault="0043315E" w:rsidP="009A35AA">
      <w:r w:rsidRPr="003A47CB">
        <w:lastRenderedPageBreak/>
        <w:t>The number of ACK-</w:t>
      </w:r>
      <w:r w:rsidR="00EE59E6">
        <w:t>F</w:t>
      </w:r>
      <w:r w:rsidRPr="003A47CB">
        <w:t>eedback-</w:t>
      </w:r>
      <w:r w:rsidR="00EE59E6">
        <w:t>G</w:t>
      </w:r>
      <w:r w:rsidRPr="003A47CB">
        <w:t xml:space="preserve">roups could be RRC configured. With </w:t>
      </w:r>
      <w:r w:rsidR="00532F59">
        <w:t>2</w:t>
      </w:r>
      <w:r w:rsidR="00532F59" w:rsidRPr="003A47CB">
        <w:t xml:space="preserve"> </w:t>
      </w:r>
      <w:r w:rsidR="00E3129A" w:rsidRPr="002139EA">
        <w:t>ACK-</w:t>
      </w:r>
      <w:r w:rsidR="00E3129A">
        <w:t>F</w:t>
      </w:r>
      <w:r w:rsidR="00E3129A" w:rsidRPr="002139EA">
        <w:t>eedback-</w:t>
      </w:r>
      <w:r w:rsidR="00E3129A">
        <w:t>G</w:t>
      </w:r>
      <w:r w:rsidR="00E3129A" w:rsidRPr="002139EA">
        <w:t>roups</w:t>
      </w:r>
      <w:r w:rsidRPr="003A47CB">
        <w:t xml:space="preserve">, </w:t>
      </w:r>
      <w:r w:rsidR="00EE59E6">
        <w:t xml:space="preserve">for </w:t>
      </w:r>
      <w:r w:rsidRPr="003A47CB">
        <w:t xml:space="preserve">the </w:t>
      </w:r>
      <w:proofErr w:type="gramStart"/>
      <w:r w:rsidRPr="003A47CB">
        <w:t>bitmap based</w:t>
      </w:r>
      <w:proofErr w:type="gramEnd"/>
      <w:r w:rsidRPr="003A47CB">
        <w:t xml:space="preserve"> approach </w:t>
      </w:r>
      <w:r w:rsidR="00EE59E6">
        <w:t xml:space="preserve">for </w:t>
      </w:r>
      <w:r w:rsidR="00E3129A">
        <w:t xml:space="preserve">indicating additional </w:t>
      </w:r>
      <w:r w:rsidR="00EE59E6">
        <w:t>ACK-Feedback-Group</w:t>
      </w:r>
      <w:r w:rsidR="00E3129A">
        <w:t>,</w:t>
      </w:r>
      <w:r w:rsidR="00EE59E6">
        <w:t xml:space="preserve"> </w:t>
      </w:r>
      <w:r w:rsidR="00E3129A">
        <w:t xml:space="preserve">we </w:t>
      </w:r>
      <w:r w:rsidRPr="003A47CB">
        <w:t xml:space="preserve">would need </w:t>
      </w:r>
      <w:r w:rsidR="00532F59">
        <w:t>4</w:t>
      </w:r>
      <w:r w:rsidR="00532F59" w:rsidRPr="003A47CB">
        <w:t xml:space="preserve"> </w:t>
      </w:r>
      <w:r w:rsidRPr="003A47CB">
        <w:t xml:space="preserve">additional bits </w:t>
      </w:r>
      <w:r w:rsidRPr="00C91D65">
        <w:t>(</w:t>
      </w:r>
      <w:r w:rsidR="00532F59">
        <w:t>1</w:t>
      </w:r>
      <w:r w:rsidR="00532F59" w:rsidRPr="00C91D65">
        <w:t xml:space="preserve"> </w:t>
      </w:r>
      <w:r w:rsidR="00D167E6">
        <w:t xml:space="preserve">current ack-feedback </w:t>
      </w:r>
      <w:r w:rsidRPr="00C91D65">
        <w:t xml:space="preserve">group index </w:t>
      </w:r>
      <w:r w:rsidR="00532F59">
        <w:t>if explicit</w:t>
      </w:r>
      <w:r w:rsidRPr="009A35AA">
        <w:t>+</w:t>
      </w:r>
      <w:r w:rsidR="00532F59">
        <w:t>1</w:t>
      </w:r>
      <w:r w:rsidR="00532F59" w:rsidRPr="009A35AA">
        <w:t xml:space="preserve"> </w:t>
      </w:r>
      <w:r w:rsidRPr="009A35AA">
        <w:t>bitmap+</w:t>
      </w:r>
      <w:r w:rsidR="00532F59">
        <w:t>2</w:t>
      </w:r>
      <w:r w:rsidR="00532F59" w:rsidRPr="009A35AA">
        <w:t xml:space="preserve"> </w:t>
      </w:r>
      <w:r w:rsidRPr="009A35AA">
        <w:t xml:space="preserve">NGI) </w:t>
      </w:r>
      <w:r w:rsidR="00076566" w:rsidRPr="009A35AA">
        <w:t>in DCI</w:t>
      </w:r>
      <w:r w:rsidRPr="003A47CB">
        <w:t>.</w:t>
      </w:r>
      <w:r w:rsidR="00076566" w:rsidRPr="003A47CB">
        <w:t xml:space="preserve"> </w:t>
      </w:r>
      <w:r w:rsidR="00076566" w:rsidRPr="009A35AA">
        <w:t xml:space="preserve">We </w:t>
      </w:r>
      <w:r w:rsidR="00076566" w:rsidRPr="003A47CB">
        <w:t xml:space="preserve">could </w:t>
      </w:r>
      <w:r w:rsidR="00076566" w:rsidRPr="009A35AA">
        <w:t xml:space="preserve">also consider </w:t>
      </w:r>
      <w:r w:rsidR="00076566" w:rsidRPr="003A47CB">
        <w:t xml:space="preserve">implicitly derived </w:t>
      </w:r>
      <w:r w:rsidR="00076566" w:rsidRPr="009A35AA">
        <w:t>current ACK-</w:t>
      </w:r>
      <w:r w:rsidR="00EE59E6">
        <w:t>F</w:t>
      </w:r>
      <w:r w:rsidR="00076566" w:rsidRPr="009A35AA">
        <w:t>eedback-</w:t>
      </w:r>
      <w:r w:rsidR="00EE59E6">
        <w:t>G</w:t>
      </w:r>
      <w:r w:rsidR="00076566" w:rsidRPr="009A35AA">
        <w:t xml:space="preserve">roup index </w:t>
      </w:r>
      <w:r w:rsidR="00076566" w:rsidRPr="003A47CB">
        <w:t>(e.g. from the slot index</w:t>
      </w:r>
      <w:r w:rsidR="00EE59E6">
        <w:t>/ARI</w:t>
      </w:r>
      <w:r w:rsidR="00076566" w:rsidRPr="003A47CB">
        <w:t xml:space="preserve"> of the </w:t>
      </w:r>
      <w:r w:rsidR="00076566" w:rsidRPr="009A35AA">
        <w:t>corresponding ACK resource</w:t>
      </w:r>
      <w:r w:rsidR="00076566" w:rsidRPr="003A47CB">
        <w:t>)</w:t>
      </w:r>
      <w:r w:rsidR="00076566" w:rsidRPr="009A35AA">
        <w:t xml:space="preserve"> to further reduce the DCI overhead at expense of reduced scheduling flexibility</w:t>
      </w:r>
      <w:r w:rsidR="00076566" w:rsidRPr="003A47CB">
        <w:t>.</w:t>
      </w:r>
    </w:p>
    <w:p w14:paraId="01E487BB" w14:textId="7C696014" w:rsidR="0043315E" w:rsidRPr="009A35AA" w:rsidRDefault="00E3129A" w:rsidP="0043315E">
      <w:pPr>
        <w:rPr>
          <w:b/>
        </w:rPr>
      </w:pPr>
      <w:bookmarkStart w:id="16" w:name="p9"/>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9</w:t>
      </w:r>
      <w:r>
        <w:rPr>
          <w:b/>
          <w:u w:val="single"/>
        </w:rPr>
        <w:fldChar w:fldCharType="end"/>
      </w:r>
      <w:r w:rsidRPr="00862899">
        <w:rPr>
          <w:b/>
          <w:u w:val="single"/>
        </w:rPr>
        <w:t>:</w:t>
      </w:r>
      <w:r w:rsidRPr="00862899">
        <w:rPr>
          <w:b/>
        </w:rPr>
        <w:t xml:space="preserve"> </w:t>
      </w:r>
      <w:r w:rsidR="00EE59E6" w:rsidRPr="00862899">
        <w:rPr>
          <w:b/>
        </w:rPr>
        <w:t xml:space="preserve">Introduce </w:t>
      </w:r>
      <w:r>
        <w:rPr>
          <w:b/>
        </w:rPr>
        <w:t xml:space="preserve">mechanism to </w:t>
      </w:r>
      <w:r w:rsidR="00D167E6">
        <w:rPr>
          <w:b/>
        </w:rPr>
        <w:t>convey the following information through DL grant</w:t>
      </w:r>
    </w:p>
    <w:p w14:paraId="21D2F6AC" w14:textId="62DCA593" w:rsidR="00EE59E6" w:rsidRDefault="00EE59E6" w:rsidP="00EE59E6">
      <w:pPr>
        <w:pStyle w:val="ListParagraph"/>
        <w:numPr>
          <w:ilvl w:val="0"/>
          <w:numId w:val="66"/>
        </w:numPr>
        <w:rPr>
          <w:b/>
        </w:rPr>
      </w:pPr>
      <w:r w:rsidRPr="009A35AA">
        <w:rPr>
          <w:b/>
        </w:rPr>
        <w:t xml:space="preserve">Current ACK-Feedback-Group index </w:t>
      </w:r>
    </w:p>
    <w:p w14:paraId="56F2BD98" w14:textId="5C725C81" w:rsidR="00E3129A" w:rsidRPr="009A35AA" w:rsidRDefault="00E3129A" w:rsidP="009A35AA">
      <w:pPr>
        <w:pStyle w:val="ListParagraph"/>
        <w:numPr>
          <w:ilvl w:val="1"/>
          <w:numId w:val="66"/>
        </w:numPr>
        <w:rPr>
          <w:b/>
        </w:rPr>
      </w:pPr>
      <w:r>
        <w:rPr>
          <w:b/>
        </w:rPr>
        <w:t>FFS implicit or explicit indication</w:t>
      </w:r>
    </w:p>
    <w:p w14:paraId="354DF868" w14:textId="4C1FEDA4" w:rsidR="00EE59E6" w:rsidRPr="009A35AA" w:rsidRDefault="00EE59E6" w:rsidP="00EE59E6">
      <w:pPr>
        <w:pStyle w:val="ListParagraph"/>
        <w:numPr>
          <w:ilvl w:val="0"/>
          <w:numId w:val="66"/>
        </w:numPr>
        <w:rPr>
          <w:b/>
        </w:rPr>
      </w:pPr>
      <w:r w:rsidRPr="009A35AA">
        <w:rPr>
          <w:b/>
        </w:rPr>
        <w:t xml:space="preserve">Indicator for </w:t>
      </w:r>
      <w:r>
        <w:rPr>
          <w:b/>
        </w:rPr>
        <w:t>additional</w:t>
      </w:r>
      <w:r w:rsidRPr="009A35AA">
        <w:rPr>
          <w:b/>
        </w:rPr>
        <w:t xml:space="preserve"> ACK-Feedback-Group</w:t>
      </w:r>
      <w:r w:rsidR="00147BF2">
        <w:rPr>
          <w:b/>
        </w:rPr>
        <w:t>(s)</w:t>
      </w:r>
      <w:r w:rsidRPr="009A35AA">
        <w:rPr>
          <w:b/>
        </w:rPr>
        <w:t xml:space="preserve"> </w:t>
      </w:r>
      <w:r w:rsidR="00D167E6">
        <w:rPr>
          <w:b/>
        </w:rPr>
        <w:t xml:space="preserve">whose ACK feedback is </w:t>
      </w:r>
      <w:r w:rsidRPr="009A35AA">
        <w:rPr>
          <w:b/>
        </w:rPr>
        <w:t xml:space="preserve">to </w:t>
      </w:r>
      <w:r w:rsidR="00D167E6">
        <w:rPr>
          <w:b/>
        </w:rPr>
        <w:t xml:space="preserve">be </w:t>
      </w:r>
      <w:r w:rsidRPr="009A35AA">
        <w:rPr>
          <w:b/>
        </w:rPr>
        <w:t>include</w:t>
      </w:r>
      <w:r w:rsidR="00D167E6">
        <w:rPr>
          <w:b/>
        </w:rPr>
        <w:t>d</w:t>
      </w:r>
      <w:r w:rsidRPr="009A35AA">
        <w:rPr>
          <w:b/>
        </w:rPr>
        <w:t xml:space="preserve"> along with the current ACK feedback (e.g. bitmap, index of another ACK-Feedback-Group)</w:t>
      </w:r>
    </w:p>
    <w:p w14:paraId="0B3F720B" w14:textId="298B1E7D" w:rsidR="00EE59E6" w:rsidRDefault="00EE59E6" w:rsidP="00EE59E6">
      <w:pPr>
        <w:pStyle w:val="ListParagraph"/>
        <w:numPr>
          <w:ilvl w:val="0"/>
          <w:numId w:val="66"/>
        </w:numPr>
        <w:rPr>
          <w:b/>
        </w:rPr>
      </w:pPr>
      <w:r w:rsidRPr="009A35AA">
        <w:rPr>
          <w:b/>
        </w:rPr>
        <w:t>A New Ack-Feedback Group Indicator (NGI) bit for each ACK-Feedback-Grou</w:t>
      </w:r>
      <w:r>
        <w:rPr>
          <w:b/>
        </w:rPr>
        <w:t xml:space="preserve">p that operates </w:t>
      </w:r>
      <w:r w:rsidR="00147BF2">
        <w:rPr>
          <w:b/>
        </w:rPr>
        <w:t>like</w:t>
      </w:r>
      <w:r>
        <w:rPr>
          <w:b/>
        </w:rPr>
        <w:t xml:space="preserve"> </w:t>
      </w:r>
      <w:r w:rsidR="00147BF2">
        <w:rPr>
          <w:b/>
        </w:rPr>
        <w:t xml:space="preserve">the </w:t>
      </w:r>
      <w:r>
        <w:rPr>
          <w:b/>
        </w:rPr>
        <w:t>NDI bit for HARQ</w:t>
      </w:r>
      <w:r w:rsidR="00147BF2">
        <w:rPr>
          <w:b/>
        </w:rPr>
        <w:t xml:space="preserve"> operation</w:t>
      </w:r>
    </w:p>
    <w:p w14:paraId="0B7839FE" w14:textId="20118865" w:rsidR="00EE59E6" w:rsidRPr="009A35AA" w:rsidRDefault="00EE59E6" w:rsidP="009A35AA">
      <w:pPr>
        <w:pStyle w:val="ListParagraph"/>
        <w:numPr>
          <w:ilvl w:val="1"/>
          <w:numId w:val="66"/>
        </w:numPr>
        <w:rPr>
          <w:b/>
        </w:rPr>
      </w:pPr>
      <w:r>
        <w:rPr>
          <w:b/>
        </w:rPr>
        <w:t>Further details FFS</w:t>
      </w:r>
    </w:p>
    <w:bookmarkEnd w:id="16"/>
    <w:p w14:paraId="11E47191" w14:textId="1303086A" w:rsidR="00ED36EF" w:rsidRDefault="00EE59E6" w:rsidP="00ED36EF">
      <w:r>
        <w:t xml:space="preserve">With introduction of the </w:t>
      </w:r>
      <w:r w:rsidRPr="002139EA">
        <w:t>ACK-</w:t>
      </w:r>
      <w:r>
        <w:t>F</w:t>
      </w:r>
      <w:r w:rsidRPr="002139EA">
        <w:t>eedback-</w:t>
      </w:r>
      <w:r>
        <w:t>G</w:t>
      </w:r>
      <w:r w:rsidRPr="002139EA">
        <w:t>roup</w:t>
      </w:r>
      <w:r>
        <w:t xml:space="preserve">, we also need to update the DAI in the existing grant to include the DAI of the additional groups. </w:t>
      </w:r>
    </w:p>
    <w:p w14:paraId="56A28B35" w14:textId="0D49B99C" w:rsidR="00EE59E6" w:rsidRPr="002139EA" w:rsidRDefault="00E3129A" w:rsidP="00EE59E6">
      <w:pPr>
        <w:rPr>
          <w:b/>
        </w:rPr>
      </w:pPr>
      <w:bookmarkStart w:id="17" w:name="p10"/>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10</w:t>
      </w:r>
      <w:r>
        <w:rPr>
          <w:b/>
          <w:u w:val="single"/>
        </w:rPr>
        <w:fldChar w:fldCharType="end"/>
      </w:r>
      <w:r w:rsidRPr="00862899">
        <w:rPr>
          <w:b/>
          <w:u w:val="single"/>
        </w:rPr>
        <w:t>:</w:t>
      </w:r>
      <w:r w:rsidRPr="00862899">
        <w:rPr>
          <w:b/>
        </w:rPr>
        <w:t xml:space="preserve"> </w:t>
      </w:r>
      <w:r w:rsidR="00EE59E6">
        <w:rPr>
          <w:b/>
        </w:rPr>
        <w:t>The DAI counter field in DL grants that request including of ACK feedback for</w:t>
      </w:r>
      <w:r w:rsidR="00EE59E6" w:rsidRPr="002139EA">
        <w:rPr>
          <w:b/>
        </w:rPr>
        <w:t xml:space="preserve"> </w:t>
      </w:r>
      <w:r w:rsidR="00EE59E6">
        <w:rPr>
          <w:b/>
        </w:rPr>
        <w:t>additional</w:t>
      </w:r>
      <w:r w:rsidR="00EE59E6" w:rsidRPr="002139EA">
        <w:rPr>
          <w:b/>
        </w:rPr>
        <w:t xml:space="preserve"> ACK-Feedback-Group</w:t>
      </w:r>
      <w:r w:rsidR="00147BF2">
        <w:rPr>
          <w:b/>
        </w:rPr>
        <w:t>(s)</w:t>
      </w:r>
      <w:r w:rsidR="00EE59E6">
        <w:rPr>
          <w:b/>
        </w:rPr>
        <w:t xml:space="preserve"> should count the DAI of </w:t>
      </w:r>
      <w:r w:rsidR="00147BF2">
        <w:rPr>
          <w:b/>
        </w:rPr>
        <w:t>those</w:t>
      </w:r>
      <w:r w:rsidR="00EE59E6">
        <w:rPr>
          <w:b/>
        </w:rPr>
        <w:t xml:space="preserve"> additional </w:t>
      </w:r>
      <w:r w:rsidR="00EE59E6" w:rsidRPr="002139EA">
        <w:rPr>
          <w:b/>
        </w:rPr>
        <w:t>ACK-Feedback-Group</w:t>
      </w:r>
      <w:r w:rsidR="00147BF2">
        <w:rPr>
          <w:b/>
        </w:rPr>
        <w:t>(</w:t>
      </w:r>
      <w:r w:rsidR="00EE59E6">
        <w:rPr>
          <w:b/>
        </w:rPr>
        <w:t>s</w:t>
      </w:r>
      <w:r w:rsidR="00147BF2">
        <w:rPr>
          <w:b/>
        </w:rPr>
        <w:t>)</w:t>
      </w:r>
      <w:r w:rsidR="00EE59E6">
        <w:rPr>
          <w:b/>
        </w:rPr>
        <w:t xml:space="preserve"> as well</w:t>
      </w:r>
    </w:p>
    <w:bookmarkEnd w:id="17"/>
    <w:p w14:paraId="64237668" w14:textId="4F17E719" w:rsidR="00C07BCC" w:rsidRPr="00C07BCC" w:rsidRDefault="008C50B2" w:rsidP="00C07BCC">
      <w:pPr>
        <w:pStyle w:val="Heading1"/>
      </w:pPr>
      <w:r>
        <w:t>PDSCH</w:t>
      </w:r>
      <w:r w:rsidR="00175960">
        <w:t>/PUSCH</w:t>
      </w:r>
      <w:r>
        <w:t xml:space="preserve"> Scheduling</w:t>
      </w:r>
    </w:p>
    <w:p w14:paraId="001F57DA" w14:textId="165C0025" w:rsidR="006C3180" w:rsidRDefault="0043315E" w:rsidP="006C3180">
      <w:pPr>
        <w:pStyle w:val="Heading2"/>
      </w:pPr>
      <w:r>
        <w:t>Time domain resource allocation</w:t>
      </w:r>
    </w:p>
    <w:p w14:paraId="261F641E" w14:textId="77777777" w:rsidR="0043315E" w:rsidRDefault="0043315E" w:rsidP="0043315E">
      <w:r>
        <w:t>NR provides flexibility in the UL grant to specify a delay between the PDCCH and PUSCH as part of the time domain resource assignment which is a key requirement for enabling efficient unlicensed operation. One may consider enhancing the number of bits for the delay field to have more scheduling flexibility. Similar enhancements to PDSCH to HARQ delay field were already agreed to be beneficial in RAN1#94.</w:t>
      </w:r>
    </w:p>
    <w:p w14:paraId="1D50A40C" w14:textId="482A23EC" w:rsidR="0043315E" w:rsidRPr="00D336D3" w:rsidRDefault="0043315E" w:rsidP="0043315E">
      <w:pPr>
        <w:rPr>
          <w:b/>
        </w:rPr>
      </w:pPr>
      <w:bookmarkStart w:id="18" w:name="p11"/>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11</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18"/>
    <w:p w14:paraId="03CEBAF5" w14:textId="77777777" w:rsidR="0043315E" w:rsidRDefault="0043315E" w:rsidP="0043315E">
      <w:pPr>
        <w:pStyle w:val="Heading2"/>
      </w:pPr>
      <w:r>
        <w:t>Multi-TTI scheduling</w:t>
      </w:r>
    </w:p>
    <w:p w14:paraId="7241794C" w14:textId="289CBA4A" w:rsidR="008E3CF8" w:rsidRDefault="00624AB6" w:rsidP="00A022A3">
      <w:r>
        <w:t xml:space="preserve">Multi-TTI grants for PUSCH were agreed to be introduced for NR-U. </w:t>
      </w:r>
      <w:r w:rsidR="00502F24">
        <w:t>In the following sections we provide more details of design of the multi-TTI grant.</w:t>
      </w:r>
    </w:p>
    <w:p w14:paraId="78760BEB" w14:textId="4775D7FA" w:rsidR="008E3CF8" w:rsidRDefault="008E3CF8" w:rsidP="008E3CF8">
      <w:pPr>
        <w:pStyle w:val="Heading3"/>
      </w:pPr>
      <w:r>
        <w:rPr>
          <w:lang w:val="en-US"/>
        </w:rPr>
        <w:t>Mix of mini-slot and full slot grant</w:t>
      </w:r>
    </w:p>
    <w:p w14:paraId="60C81FBA" w14:textId="77777777" w:rsidR="008E3CF8" w:rsidRDefault="008E3CF8" w:rsidP="00A022A3"/>
    <w:p w14:paraId="44DCCE5B" w14:textId="6F06AF57"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DF5541">
        <w:t xml:space="preserve">Figure </w:t>
      </w:r>
      <w:r w:rsidR="00DF5541">
        <w:rPr>
          <w:noProof/>
        </w:rPr>
        <w:t>6</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pt;height:238pt" o:ole="">
            <v:imagedata r:id="rId21" o:title=""/>
          </v:shape>
          <o:OLEObject Type="Embed" ProgID="Visio.Drawing.11" ShapeID="_x0000_i1029" DrawAspect="Content" ObjectID="_1615373197" r:id="rId22"/>
        </w:object>
      </w:r>
    </w:p>
    <w:p w14:paraId="65E5531F" w14:textId="7AFA5810" w:rsidR="00A022A3" w:rsidRDefault="009946AF" w:rsidP="009946AF">
      <w:pPr>
        <w:pStyle w:val="Caption"/>
        <w:jc w:val="center"/>
      </w:pPr>
      <w:bookmarkStart w:id="19" w:name="_Ref513638859"/>
      <w:bookmarkStart w:id="20" w:name="_Ref513638854"/>
      <w:r>
        <w:t xml:space="preserve">Figure </w:t>
      </w:r>
      <w:r>
        <w:fldChar w:fldCharType="begin"/>
      </w:r>
      <w:r>
        <w:instrText xml:space="preserve"> SEQ Figure \* ARABIC </w:instrText>
      </w:r>
      <w:r>
        <w:fldChar w:fldCharType="separate"/>
      </w:r>
      <w:r w:rsidR="00DF5541">
        <w:rPr>
          <w:noProof/>
        </w:rPr>
        <w:t>6</w:t>
      </w:r>
      <w:r>
        <w:fldChar w:fldCharType="end"/>
      </w:r>
      <w:bookmarkEnd w:id="19"/>
      <w:r>
        <w:t>: Examples of operation with Multi-TTI grant</w:t>
      </w:r>
      <w:bookmarkEnd w:id="20"/>
    </w:p>
    <w:p w14:paraId="088A0C95" w14:textId="544A9C4B" w:rsidR="00A022A3" w:rsidRDefault="00A022A3" w:rsidP="00A022A3">
      <w:pPr>
        <w:rPr>
          <w:b/>
        </w:rPr>
      </w:pPr>
      <w:bookmarkStart w:id="21" w:name="p12"/>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12</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bookmarkEnd w:id="21"/>
    <w:p w14:paraId="7FF47BC7" w14:textId="77777777" w:rsidR="008E3CF8" w:rsidRPr="001B4381" w:rsidRDefault="008E3CF8" w:rsidP="008E3CF8"/>
    <w:p w14:paraId="39B49FE8" w14:textId="75566075" w:rsidR="00C8323F" w:rsidRDefault="00C8323F" w:rsidP="001B4381">
      <w:pPr>
        <w:pStyle w:val="Heading3"/>
      </w:pPr>
      <w:r>
        <w:t>Multi TTI Grant</w:t>
      </w:r>
      <w:r w:rsidR="0043315E">
        <w:t>: DCI design</w:t>
      </w:r>
    </w:p>
    <w:p w14:paraId="68F57D4B" w14:textId="19A2DF29" w:rsidR="008D59BC" w:rsidRDefault="001A6C1F" w:rsidP="006C3180">
      <w:r>
        <w:t>With multi-TTI grant, we could have some configurations changing across the TTI’s while many others don’t change. We propose that a</w:t>
      </w:r>
      <w:r w:rsidR="008D59BC">
        <w:t>t least the following fields are common</w:t>
      </w:r>
      <w:r w:rsidR="003A47CB">
        <w:t xml:space="preserve"> or indicated only once</w:t>
      </w:r>
      <w:r w:rsidR="008D59BC">
        <w:t xml:space="preserve"> for all TTIs in the multi-TTI grant</w:t>
      </w:r>
      <w:r w:rsidR="0077666E">
        <w:t xml:space="preserve"> and are indicated using the same signalling mechanisms as in NR</w:t>
      </w:r>
      <w:r>
        <w:t>:</w:t>
      </w:r>
    </w:p>
    <w:p w14:paraId="5A91BB45" w14:textId="62B745B8" w:rsidR="008D59BC" w:rsidRDefault="008D59BC" w:rsidP="009A35AA">
      <w:pPr>
        <w:pStyle w:val="ListParagraph"/>
        <w:numPr>
          <w:ilvl w:val="0"/>
          <w:numId w:val="60"/>
        </w:numPr>
        <w:rPr>
          <w:lang w:eastAsia="zh-CN"/>
        </w:rPr>
      </w:pPr>
      <w:r>
        <w:rPr>
          <w:lang w:eastAsia="zh-CN"/>
        </w:rPr>
        <w:t xml:space="preserve">Identifier for </w:t>
      </w:r>
      <w:r>
        <w:t>DCI formats</w:t>
      </w:r>
    </w:p>
    <w:p w14:paraId="21A3D285" w14:textId="77777777" w:rsidR="008D59BC" w:rsidRDefault="008D59BC" w:rsidP="009A35AA">
      <w:pPr>
        <w:pStyle w:val="ListParagraph"/>
        <w:numPr>
          <w:ilvl w:val="0"/>
          <w:numId w:val="60"/>
        </w:numPr>
      </w:pPr>
      <w:r>
        <w:t>Carrier indicator</w:t>
      </w:r>
    </w:p>
    <w:p w14:paraId="24387EB4" w14:textId="000B324C" w:rsidR="008D59BC" w:rsidRDefault="008D59BC" w:rsidP="009A35AA">
      <w:pPr>
        <w:pStyle w:val="ListParagraph"/>
        <w:numPr>
          <w:ilvl w:val="0"/>
          <w:numId w:val="60"/>
        </w:numPr>
      </w:pPr>
      <w:r>
        <w:rPr>
          <w:lang w:eastAsia="zh-CN"/>
        </w:rPr>
        <w:t>Bandwidth part indicator</w:t>
      </w:r>
    </w:p>
    <w:p w14:paraId="3BE53842" w14:textId="1C7602A7" w:rsidR="008D59BC" w:rsidRDefault="008D59BC" w:rsidP="009A35AA">
      <w:pPr>
        <w:pStyle w:val="ListParagraph"/>
        <w:numPr>
          <w:ilvl w:val="0"/>
          <w:numId w:val="60"/>
        </w:numPr>
        <w:rPr>
          <w:lang w:eastAsia="zh-CN"/>
        </w:rPr>
      </w:pPr>
      <w:r>
        <w:rPr>
          <w:lang w:eastAsia="zh-CN"/>
        </w:rPr>
        <w:t>Frequency domain resource assignment</w:t>
      </w:r>
    </w:p>
    <w:p w14:paraId="76509110" w14:textId="5FBFB0E9" w:rsidR="008D59BC" w:rsidRDefault="008D59BC" w:rsidP="009A35AA">
      <w:pPr>
        <w:pStyle w:val="ListParagraph"/>
        <w:numPr>
          <w:ilvl w:val="0"/>
          <w:numId w:val="60"/>
        </w:numPr>
        <w:rPr>
          <w:lang w:eastAsia="zh-CN"/>
        </w:rPr>
      </w:pPr>
      <w:r>
        <w:rPr>
          <w:lang w:eastAsia="zh-CN"/>
        </w:rPr>
        <w:t>Frequency hopping flag</w:t>
      </w:r>
    </w:p>
    <w:p w14:paraId="57F2CF28" w14:textId="5A6D0179" w:rsidR="008D59BC" w:rsidRDefault="008D59BC" w:rsidP="009A35AA">
      <w:pPr>
        <w:pStyle w:val="ListParagraph"/>
        <w:numPr>
          <w:ilvl w:val="0"/>
          <w:numId w:val="60"/>
        </w:numPr>
      </w:pPr>
      <w:r>
        <w:t>Modulation and coding scheme</w:t>
      </w:r>
    </w:p>
    <w:p w14:paraId="4785B8B8" w14:textId="0622273A" w:rsidR="008D59BC" w:rsidRDefault="008D59BC" w:rsidP="009A35AA">
      <w:pPr>
        <w:pStyle w:val="ListParagraph"/>
        <w:numPr>
          <w:ilvl w:val="0"/>
          <w:numId w:val="60"/>
        </w:numPr>
      </w:pPr>
      <w:r>
        <w:t>TPC command for scheduled PUSCH</w:t>
      </w:r>
    </w:p>
    <w:p w14:paraId="67478F3F" w14:textId="1646983C" w:rsidR="008D59BC" w:rsidRDefault="008D59BC" w:rsidP="009A35AA">
      <w:pPr>
        <w:pStyle w:val="ListParagraph"/>
        <w:numPr>
          <w:ilvl w:val="0"/>
          <w:numId w:val="60"/>
        </w:numPr>
      </w:pPr>
      <w:r>
        <w:t>Precoding information and number of layers</w:t>
      </w:r>
    </w:p>
    <w:p w14:paraId="2D4AF4BD" w14:textId="568BCEE0" w:rsidR="008D59BC" w:rsidRDefault="000F6971" w:rsidP="009A35AA">
      <w:pPr>
        <w:pStyle w:val="ListParagraph"/>
        <w:numPr>
          <w:ilvl w:val="0"/>
          <w:numId w:val="60"/>
        </w:numPr>
        <w:rPr>
          <w:lang w:eastAsia="zh-CN"/>
        </w:rPr>
      </w:pPr>
      <w:r>
        <w:rPr>
          <w:lang w:eastAsia="zh-CN"/>
        </w:rPr>
        <w:t>Antenna ports</w:t>
      </w:r>
    </w:p>
    <w:p w14:paraId="4C8C426A" w14:textId="2BAE37A6" w:rsidR="000F6971" w:rsidRDefault="000F6971" w:rsidP="009A35AA">
      <w:pPr>
        <w:pStyle w:val="ListParagraph"/>
        <w:numPr>
          <w:ilvl w:val="0"/>
          <w:numId w:val="60"/>
        </w:numPr>
        <w:rPr>
          <w:lang w:eastAsia="zh-CN"/>
        </w:rPr>
      </w:pPr>
      <w:r>
        <w:rPr>
          <w:lang w:eastAsia="zh-CN"/>
        </w:rPr>
        <w:t>PTRS-DMRS association</w:t>
      </w:r>
    </w:p>
    <w:p w14:paraId="5599AED9" w14:textId="03BF81A6" w:rsidR="000F6971" w:rsidRDefault="000F6971" w:rsidP="009A35AA">
      <w:pPr>
        <w:pStyle w:val="ListParagraph"/>
        <w:numPr>
          <w:ilvl w:val="0"/>
          <w:numId w:val="60"/>
        </w:numPr>
        <w:rPr>
          <w:lang w:eastAsia="zh-CN"/>
        </w:rPr>
      </w:pPr>
      <w:proofErr w:type="spellStart"/>
      <w:r>
        <w:rPr>
          <w:lang w:eastAsia="zh-CN"/>
        </w:rPr>
        <w:t>beta_offset</w:t>
      </w:r>
      <w:proofErr w:type="spellEnd"/>
      <w:r>
        <w:rPr>
          <w:lang w:eastAsia="zh-CN"/>
        </w:rPr>
        <w:t xml:space="preserve"> indicator</w:t>
      </w:r>
    </w:p>
    <w:p w14:paraId="64DD81CA" w14:textId="1ED21101" w:rsidR="000F6971" w:rsidRDefault="000F6971" w:rsidP="009A35AA">
      <w:pPr>
        <w:pStyle w:val="ListParagraph"/>
        <w:numPr>
          <w:ilvl w:val="0"/>
          <w:numId w:val="60"/>
        </w:numPr>
        <w:rPr>
          <w:lang w:eastAsia="zh-CN"/>
        </w:rPr>
      </w:pPr>
      <w:r>
        <w:rPr>
          <w:lang w:eastAsia="zh-CN"/>
        </w:rPr>
        <w:t>DMRS sequence initialization</w:t>
      </w:r>
    </w:p>
    <w:p w14:paraId="7BE3270E" w14:textId="4526BA20" w:rsidR="000F6971" w:rsidRPr="009A35AA" w:rsidRDefault="000F6971" w:rsidP="009A35AA">
      <w:pPr>
        <w:pStyle w:val="ListParagraph"/>
        <w:numPr>
          <w:ilvl w:val="0"/>
          <w:numId w:val="60"/>
        </w:numPr>
        <w:rPr>
          <w:rFonts w:eastAsiaTheme="minorEastAsia"/>
          <w:lang w:eastAsia="zh-CN"/>
        </w:rPr>
      </w:pPr>
      <w:r w:rsidRPr="009A35AA">
        <w:rPr>
          <w:rFonts w:eastAsiaTheme="minorEastAsia"/>
          <w:lang w:eastAsia="zh-CN"/>
        </w:rPr>
        <w:t>UL-SCH indicator</w:t>
      </w:r>
    </w:p>
    <w:p w14:paraId="4DC96AA2" w14:textId="77777777" w:rsidR="0077666E" w:rsidRDefault="0077666E" w:rsidP="009A35AA">
      <w:pPr>
        <w:pStyle w:val="ListParagraph"/>
        <w:numPr>
          <w:ilvl w:val="0"/>
          <w:numId w:val="65"/>
        </w:numPr>
        <w:rPr>
          <w:lang w:eastAsia="zh-CN"/>
        </w:rPr>
      </w:pPr>
      <w:r>
        <w:rPr>
          <w:lang w:eastAsia="zh-CN"/>
        </w:rPr>
        <w:t>SRS resource indicator</w:t>
      </w:r>
    </w:p>
    <w:p w14:paraId="430CB8F2" w14:textId="77777777" w:rsidR="0077666E" w:rsidRDefault="0077666E" w:rsidP="009A35AA">
      <w:pPr>
        <w:pStyle w:val="ListParagraph"/>
        <w:numPr>
          <w:ilvl w:val="0"/>
          <w:numId w:val="65"/>
        </w:numPr>
        <w:rPr>
          <w:lang w:eastAsia="zh-CN"/>
        </w:rPr>
      </w:pPr>
      <w:r>
        <w:rPr>
          <w:lang w:eastAsia="zh-CN"/>
        </w:rPr>
        <w:t>SRS request</w:t>
      </w:r>
    </w:p>
    <w:p w14:paraId="5A1FEB90" w14:textId="77777777" w:rsidR="0077666E" w:rsidRDefault="0077666E" w:rsidP="009A35AA">
      <w:pPr>
        <w:pStyle w:val="ListParagraph"/>
        <w:numPr>
          <w:ilvl w:val="0"/>
          <w:numId w:val="65"/>
        </w:numPr>
        <w:rPr>
          <w:lang w:eastAsia="zh-CN"/>
        </w:rPr>
      </w:pPr>
      <w:r>
        <w:rPr>
          <w:lang w:eastAsia="zh-CN"/>
        </w:rPr>
        <w:t>CSI request</w:t>
      </w:r>
    </w:p>
    <w:p w14:paraId="6DB9957F" w14:textId="06D297E9" w:rsidR="00555EB9" w:rsidRDefault="00555EB9" w:rsidP="009A35AA">
      <w:pPr>
        <w:pStyle w:val="ListParagraph"/>
        <w:numPr>
          <w:ilvl w:val="0"/>
          <w:numId w:val="63"/>
        </w:numPr>
        <w:rPr>
          <w:lang w:eastAsia="zh-CN"/>
        </w:rPr>
      </w:pPr>
      <w:r>
        <w:rPr>
          <w:lang w:eastAsia="zh-CN"/>
        </w:rPr>
        <w:t>1</w:t>
      </w:r>
      <w:r w:rsidRPr="00555EB9">
        <w:rPr>
          <w:vertAlign w:val="superscript"/>
          <w:lang w:eastAsia="zh-CN"/>
        </w:rPr>
        <w:t>st</w:t>
      </w:r>
      <w:r>
        <w:rPr>
          <w:lang w:eastAsia="zh-CN"/>
        </w:rPr>
        <w:t xml:space="preserve"> downlink assignment index</w:t>
      </w:r>
    </w:p>
    <w:p w14:paraId="03A90933" w14:textId="77777777" w:rsidR="00555EB9" w:rsidRDefault="00555EB9" w:rsidP="009A35AA">
      <w:pPr>
        <w:pStyle w:val="ListParagraph"/>
        <w:numPr>
          <w:ilvl w:val="0"/>
          <w:numId w:val="63"/>
        </w:numPr>
        <w:rPr>
          <w:lang w:eastAsia="zh-CN"/>
        </w:rPr>
      </w:pPr>
      <w:r>
        <w:t>2</w:t>
      </w:r>
      <w:r w:rsidRPr="00555EB9">
        <w:rPr>
          <w:vertAlign w:val="superscript"/>
        </w:rPr>
        <w:t>nd</w:t>
      </w:r>
      <w:r>
        <w:t xml:space="preserve"> </w:t>
      </w:r>
      <w:r>
        <w:rPr>
          <w:lang w:eastAsia="zh-CN"/>
        </w:rPr>
        <w:t>downlink assignment index</w:t>
      </w:r>
    </w:p>
    <w:p w14:paraId="3FE64395" w14:textId="2698FBF4" w:rsidR="000F6971" w:rsidRDefault="0077666E" w:rsidP="006C3180">
      <w:r>
        <w:t>The following information may change across TTIs</w:t>
      </w:r>
      <w:r w:rsidR="001A6C1F">
        <w:t>:</w:t>
      </w:r>
    </w:p>
    <w:p w14:paraId="2462C057" w14:textId="2834DD09" w:rsidR="008D59BC" w:rsidRPr="008E3CF8" w:rsidRDefault="008D59BC" w:rsidP="009A35AA">
      <w:pPr>
        <w:pStyle w:val="ListParagraph"/>
        <w:numPr>
          <w:ilvl w:val="0"/>
          <w:numId w:val="62"/>
        </w:numPr>
        <w:rPr>
          <w:lang w:eastAsia="zh-CN"/>
        </w:rPr>
      </w:pPr>
      <w:r w:rsidRPr="006314C0">
        <w:rPr>
          <w:lang w:eastAsia="zh-CN"/>
        </w:rPr>
        <w:t>Time domain resource assignment</w:t>
      </w:r>
      <w:r w:rsidR="0077666E" w:rsidRPr="008E3CF8">
        <w:rPr>
          <w:lang w:eastAsia="zh-CN"/>
        </w:rPr>
        <w:t>: This may now provide a start symbol for first slot and last symbol for last slot</w:t>
      </w:r>
      <w:r w:rsidR="00661D2C">
        <w:rPr>
          <w:lang w:eastAsia="zh-CN"/>
        </w:rPr>
        <w:t>.</w:t>
      </w:r>
      <w:r w:rsidR="0077666E" w:rsidRPr="008E3CF8">
        <w:rPr>
          <w:lang w:eastAsia="zh-CN"/>
        </w:rPr>
        <w:t xml:space="preserve"> </w:t>
      </w:r>
    </w:p>
    <w:p w14:paraId="276949DB" w14:textId="77524C11" w:rsidR="008D59BC" w:rsidRDefault="008D59BC" w:rsidP="009A35AA">
      <w:pPr>
        <w:pStyle w:val="ListParagraph"/>
        <w:numPr>
          <w:ilvl w:val="0"/>
          <w:numId w:val="62"/>
        </w:numPr>
      </w:pPr>
      <w:r>
        <w:t>New data indicator</w:t>
      </w:r>
    </w:p>
    <w:p w14:paraId="2B3D28E7" w14:textId="4BD8B5C5" w:rsidR="008D59BC" w:rsidRDefault="008D59BC" w:rsidP="009A35AA">
      <w:pPr>
        <w:pStyle w:val="ListParagraph"/>
        <w:numPr>
          <w:ilvl w:val="0"/>
          <w:numId w:val="62"/>
        </w:numPr>
      </w:pPr>
      <w:r>
        <w:t>Redundancy version</w:t>
      </w:r>
    </w:p>
    <w:p w14:paraId="53C22487" w14:textId="2A2A02DA" w:rsidR="008D59BC" w:rsidRDefault="008D59BC" w:rsidP="0077666E">
      <w:pPr>
        <w:pStyle w:val="ListParagraph"/>
        <w:numPr>
          <w:ilvl w:val="0"/>
          <w:numId w:val="62"/>
        </w:numPr>
      </w:pPr>
      <w:r>
        <w:lastRenderedPageBreak/>
        <w:t>HARQ process number</w:t>
      </w:r>
    </w:p>
    <w:p w14:paraId="28BC3CF0" w14:textId="3C905938" w:rsidR="0077666E" w:rsidRDefault="003A47CB" w:rsidP="009A35AA">
      <w:pPr>
        <w:pStyle w:val="ListParagraph"/>
        <w:numPr>
          <w:ilvl w:val="1"/>
          <w:numId w:val="62"/>
        </w:numPr>
      </w:pPr>
      <w:r>
        <w:t>E.g. grant provides s</w:t>
      </w:r>
      <w:r w:rsidR="0077666E">
        <w:t xml:space="preserve">tarting HARQ process number with </w:t>
      </w:r>
      <w:r>
        <w:t xml:space="preserve">HARQ ID of </w:t>
      </w:r>
      <w:r w:rsidR="0077666E">
        <w:t xml:space="preserve">subsequent </w:t>
      </w:r>
      <w:r>
        <w:t>TTIs</w:t>
      </w:r>
      <w:r w:rsidR="0077666E">
        <w:t xml:space="preserve"> incrementing by 1</w:t>
      </w:r>
    </w:p>
    <w:p w14:paraId="6E631FF5" w14:textId="77777777" w:rsidR="000F6971" w:rsidRDefault="000F6971" w:rsidP="009A35AA">
      <w:pPr>
        <w:pStyle w:val="ListParagraph"/>
        <w:numPr>
          <w:ilvl w:val="0"/>
          <w:numId w:val="62"/>
        </w:numPr>
        <w:rPr>
          <w:lang w:eastAsia="zh-CN"/>
        </w:rPr>
      </w:pPr>
      <w:r>
        <w:rPr>
          <w:lang w:eastAsia="zh-CN"/>
        </w:rPr>
        <w:t>CBG transmission information (CBGTI)</w:t>
      </w:r>
    </w:p>
    <w:p w14:paraId="0EB9C740" w14:textId="0F288B10" w:rsidR="003A47CB" w:rsidRDefault="001A6C1F" w:rsidP="003A47CB">
      <w:r>
        <w:t>Furthermore, we propose that the following a</w:t>
      </w:r>
      <w:r w:rsidR="003A47CB">
        <w:t xml:space="preserve">dditional information </w:t>
      </w:r>
      <w:r>
        <w:t>be</w:t>
      </w:r>
      <w:r w:rsidR="003A47CB">
        <w:t xml:space="preserve"> include</w:t>
      </w:r>
      <w:r>
        <w:t>d in the DCI</w:t>
      </w:r>
    </w:p>
    <w:p w14:paraId="081D9B33" w14:textId="15159402" w:rsidR="003A47CB" w:rsidRDefault="003A47CB" w:rsidP="003A47CB">
      <w:pPr>
        <w:pStyle w:val="ListParagraph"/>
        <w:numPr>
          <w:ilvl w:val="0"/>
          <w:numId w:val="61"/>
        </w:numPr>
      </w:pPr>
      <w:r>
        <w:t>Number of TTIs</w:t>
      </w:r>
      <w:r w:rsidR="001A6C1F">
        <w:t xml:space="preserve"> (this may be included as part of enhanced time domain resource assignment)</w:t>
      </w:r>
    </w:p>
    <w:p w14:paraId="72D7A8CC" w14:textId="2C64694E" w:rsidR="003A47CB" w:rsidRDefault="003A47CB" w:rsidP="003A47CB">
      <w:pPr>
        <w:pStyle w:val="ListParagraph"/>
        <w:numPr>
          <w:ilvl w:val="0"/>
          <w:numId w:val="61"/>
        </w:numPr>
      </w:pPr>
      <w:r>
        <w:t>Information about number of allowed mini / full slots</w:t>
      </w:r>
    </w:p>
    <w:p w14:paraId="572F1CE9" w14:textId="77777777" w:rsidR="003807D1" w:rsidRDefault="00F51596" w:rsidP="006C3180">
      <w:r w:rsidRPr="00307EED">
        <w:t xml:space="preserve">NR support CBG based HARQ ACK feedback and CBG based retransmission. The benefits CBG based HARQ also apply to NR-U and hence should be supported for NR-U. </w:t>
      </w:r>
    </w:p>
    <w:p w14:paraId="33B605A6" w14:textId="14259459" w:rsidR="003807D1" w:rsidRDefault="003807D1" w:rsidP="006C3180">
      <w:bookmarkStart w:id="22" w:name="p14"/>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DF5541">
        <w:rPr>
          <w:b/>
          <w:noProof/>
          <w:u w:val="single"/>
        </w:rPr>
        <w:t>13</w:t>
      </w:r>
      <w:r w:rsidRPr="00307EED">
        <w:rPr>
          <w:b/>
          <w:u w:val="single"/>
        </w:rPr>
        <w:fldChar w:fldCharType="end"/>
      </w:r>
      <w:r w:rsidRPr="00307EED">
        <w:rPr>
          <w:b/>
          <w:u w:val="single"/>
        </w:rPr>
        <w:t>:</w:t>
      </w:r>
      <w:r w:rsidRPr="00307EED">
        <w:rPr>
          <w:b/>
        </w:rPr>
        <w:t xml:space="preserve"> The multi-TTI grants should also support CBG based retransmissions</w:t>
      </w:r>
      <w:r>
        <w:rPr>
          <w:b/>
        </w:rPr>
        <w:t>.</w:t>
      </w:r>
      <w:bookmarkEnd w:id="22"/>
    </w:p>
    <w:p w14:paraId="7A444818" w14:textId="5FE6A594" w:rsidR="0024048E" w:rsidRDefault="00F51596" w:rsidP="0024048E">
      <w:r w:rsidRPr="00307EED">
        <w:t>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 xml:space="preserve"> Similarly, there are other fields that were mentioned above that can change every TTI.</w:t>
      </w:r>
      <w:r w:rsidRPr="00307EED">
        <w:t xml:space="preserve"> </w:t>
      </w:r>
      <w:r w:rsidR="003A47CB">
        <w:t xml:space="preserve">Hence, </w:t>
      </w:r>
      <w:r w:rsidR="00C91D65">
        <w:t>s</w:t>
      </w:r>
      <w:r w:rsidRPr="00307EED">
        <w:t xml:space="preserve">ome solutions need to be considered </w:t>
      </w:r>
      <w:proofErr w:type="gramStart"/>
      <w:r w:rsidRPr="00307EED">
        <w:t>in order to</w:t>
      </w:r>
      <w:proofErr w:type="gramEnd"/>
      <w:r w:rsidRPr="00307EED">
        <w:t xml:space="preserve"> accommodate the increased DCI overhead. </w:t>
      </w:r>
    </w:p>
    <w:p w14:paraId="6D60C12C" w14:textId="31BAF814" w:rsidR="0098544D" w:rsidRDefault="0098544D" w:rsidP="0024048E">
      <w:r>
        <w:t xml:space="preserve">In a multi-TTI grant, some of the scheduled PUSCHs are for initial transmissions while others are for retransmissions. Given that CBGTI field is not needed for initial transmissions, if we limit the maximum number of retransmissions that can be scheduled by a multi-TTI grant, then the DCI size can be reduced significantly. Note that this should not limit the scheduling flexibility of a multi-TTI grant as in a typical operation, the first BLER is around 10%. </w:t>
      </w:r>
      <w:r w:rsidR="00CE2B61">
        <w:t>The maximum number of allowed retransmissions in a multi-TTI grant can be an RRC parameter. Also, t</w:t>
      </w:r>
      <w:r>
        <w:t xml:space="preserve">his requires the UE to </w:t>
      </w:r>
      <w:r w:rsidR="000B6863">
        <w:t>identify which of the scheduled HARQ process IDs correspond to a retransmission and which ones correspond to an initial transmission. This can be achieved through one of the mechanisms below:</w:t>
      </w:r>
    </w:p>
    <w:p w14:paraId="73354129" w14:textId="58D754B6" w:rsidR="000B6863" w:rsidRDefault="000B6863" w:rsidP="000B6863">
      <w:pPr>
        <w:pStyle w:val="ListParagraph"/>
        <w:numPr>
          <w:ilvl w:val="0"/>
          <w:numId w:val="72"/>
        </w:numPr>
      </w:pPr>
      <w:r>
        <w:t>Implicitly: UE looks at the NDI value for each HARQ process ID and compares it with the previous NDI for the same HARQ process ID</w:t>
      </w:r>
      <w:r w:rsidR="0019517F">
        <w:t xml:space="preserve">. </w:t>
      </w:r>
      <w:r w:rsidR="003807D1">
        <w:t>If NDI is toggled, it is a new transmission; otherwise, it is a retransmission.</w:t>
      </w:r>
    </w:p>
    <w:p w14:paraId="57D9A8D3" w14:textId="447CE644" w:rsidR="003807D1" w:rsidRDefault="003807D1" w:rsidP="000B6863">
      <w:pPr>
        <w:pStyle w:val="ListParagraph"/>
        <w:numPr>
          <w:ilvl w:val="0"/>
          <w:numId w:val="72"/>
        </w:numPr>
      </w:pPr>
      <w:r>
        <w:t>Explicitly: The multi-TTI grant indicates which of the HARQ process IDs correspond to a retransmission.</w:t>
      </w:r>
    </w:p>
    <w:p w14:paraId="1045370E" w14:textId="66BCDF31" w:rsidR="008D5CC4" w:rsidRDefault="003807D1" w:rsidP="003807D1">
      <w:r>
        <w:t xml:space="preserve">The implicit option may not be robust against missing DCIs (i.e. in case a previous grant scheduling the initial transmission </w:t>
      </w:r>
      <w:r w:rsidR="003D0DFF">
        <w:t xml:space="preserve">of a HARQ process ID </w:t>
      </w:r>
      <w:r>
        <w:t xml:space="preserve">is missed). Therefore, </w:t>
      </w:r>
      <w:r w:rsidR="008D5CC4">
        <w:t xml:space="preserve">the explicit option may be preferred. </w:t>
      </w:r>
    </w:p>
    <w:p w14:paraId="37AD74DD" w14:textId="77777777" w:rsidR="00E138DC" w:rsidRDefault="008D5CC4" w:rsidP="00E138DC">
      <w:r>
        <w:t xml:space="preserve">Considering the example of a Multi-TTI grant scheduling up to 16 PUSCHs and </w:t>
      </w:r>
      <w:proofErr w:type="gramStart"/>
      <w:r>
        <w:t>assuming that</w:t>
      </w:r>
      <w:proofErr w:type="gramEnd"/>
      <w:r>
        <w:t xml:space="preserve"> maximum of 4 retransmissions can be included in the grant, and number of CBGs is configured to be 4, 16 bits are required in the multi-TTI grant for CBGTI information. </w:t>
      </w:r>
      <w:r w:rsidR="00E138DC">
        <w:t>In addition, with the explicit indication</w:t>
      </w:r>
      <w:r>
        <w:t xml:space="preserve">, we can include a bit map </w:t>
      </w:r>
      <w:r w:rsidR="00E138DC">
        <w:t xml:space="preserve">to indicate which of the HARQ process IDs correspond to a retransmission. This results in 16+16=32 bits. Alternatively, the explicit indication can indicate one of the </w:t>
      </w:r>
      <m:oMath>
        <m:nary>
          <m:naryPr>
            <m:chr m:val="∑"/>
            <m:ctrlPr>
              <w:rPr>
                <w:rFonts w:ascii="Cambria Math" w:hAnsi="Cambria Math"/>
                <w:i/>
                <w:iCs/>
              </w:rPr>
            </m:ctrlPr>
          </m:naryPr>
          <m:sub>
            <m:r>
              <w:rPr>
                <w:rFonts w:ascii="Cambria Math" w:hAnsi="Cambria Math"/>
              </w:rPr>
              <m:t>i=0</m:t>
            </m:r>
          </m:sub>
          <m:sup>
            <m:r>
              <w:rPr>
                <w:rFonts w:ascii="Cambria Math" w:hAnsi="Cambria Math"/>
              </w:rPr>
              <m:t>4</m:t>
            </m:r>
          </m:sup>
          <m:e>
            <m:d>
              <m:dPr>
                <m:ctrlPr>
                  <w:rPr>
                    <w:rFonts w:ascii="Cambria Math" w:hAnsi="Cambria Math"/>
                    <w:i/>
                    <w:iCs/>
                  </w:rPr>
                </m:ctrlPr>
              </m:dPr>
              <m:e>
                <m:f>
                  <m:fPr>
                    <m:type m:val="noBar"/>
                    <m:ctrlPr>
                      <w:rPr>
                        <w:rFonts w:ascii="Cambria Math" w:hAnsi="Cambria Math"/>
                        <w:i/>
                        <w:iCs/>
                      </w:rPr>
                    </m:ctrlPr>
                  </m:fPr>
                  <m:num>
                    <m:r>
                      <w:rPr>
                        <w:rFonts w:ascii="Cambria Math" w:hAnsi="Cambria Math"/>
                      </w:rPr>
                      <m:t>16</m:t>
                    </m:r>
                  </m:num>
                  <m:den>
                    <m:r>
                      <w:rPr>
                        <w:rFonts w:ascii="Cambria Math" w:hAnsi="Cambria Math"/>
                      </w:rPr>
                      <m:t>i</m:t>
                    </m:r>
                  </m:den>
                </m:f>
              </m:e>
            </m:d>
          </m:e>
        </m:nary>
      </m:oMath>
      <w:r w:rsidR="00E138DC">
        <w:t xml:space="preserve"> possibilities. This results in 12+16=28 bits. Note that without this enhancement, 64 bits are required to indicate the CBGTI information for the 16 HARQ process IDs.</w:t>
      </w:r>
    </w:p>
    <w:p w14:paraId="069A85D0" w14:textId="4FAFA80A" w:rsidR="003807D1" w:rsidRPr="00307EED" w:rsidRDefault="00E138DC" w:rsidP="00E138DC">
      <w:r>
        <w:t xml:space="preserve">Note that the same mechanism can be also used for RV indication. In the LAA design, RV is one bit for the multi-TTI grant (can be either 0 or 2). </w:t>
      </w:r>
      <w:proofErr w:type="gramStart"/>
      <w:r>
        <w:t>Assuming that</w:t>
      </w:r>
      <w:proofErr w:type="gramEnd"/>
      <w:r>
        <w:t xml:space="preserve"> RV value can be fixed to 0 for any initial transmission in the multi-TTI grant, and </w:t>
      </w:r>
      <w:r w:rsidR="00CE2B61">
        <w:t xml:space="preserve">RV value can be either 0 or 2 for any retransmission, the example above only requires 4 bits for RV indication. Without this enhancement, 16 bits are required for RV indication (one </w:t>
      </w:r>
      <w:r w:rsidR="00AF6A8F">
        <w:t>bit</w:t>
      </w:r>
      <w:r w:rsidR="00CE2B61">
        <w:t xml:space="preserve"> per HARQ process ID).  </w:t>
      </w:r>
      <w:r w:rsidR="003807D1">
        <w:t xml:space="preserve"> </w:t>
      </w:r>
    </w:p>
    <w:p w14:paraId="658AAB74" w14:textId="7B70E8FF" w:rsidR="00FD2E5C" w:rsidRPr="00307EED" w:rsidRDefault="00FD2E5C" w:rsidP="00FD2E5C">
      <w:pPr>
        <w:rPr>
          <w:b/>
        </w:rPr>
      </w:pPr>
    </w:p>
    <w:p w14:paraId="0860CF8A" w14:textId="149DBF86" w:rsidR="0024048E" w:rsidRPr="00307EED" w:rsidRDefault="0024048E" w:rsidP="00EE18D1">
      <w:pPr>
        <w:rPr>
          <w:b/>
        </w:rPr>
      </w:pPr>
      <w:bookmarkStart w:id="23" w:name="p15"/>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DF5541">
        <w:rPr>
          <w:b/>
          <w:noProof/>
          <w:u w:val="single"/>
        </w:rPr>
        <w:t>14</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 to reduce the DCI size of multi-TTI grant</w:t>
      </w:r>
    </w:p>
    <w:p w14:paraId="22869EBC" w14:textId="64920246" w:rsidR="0024048E" w:rsidRPr="006F4681" w:rsidRDefault="00CE2B61" w:rsidP="0024048E">
      <w:pPr>
        <w:pStyle w:val="ListParagraph"/>
        <w:numPr>
          <w:ilvl w:val="0"/>
          <w:numId w:val="51"/>
        </w:numPr>
        <w:rPr>
          <w:b/>
        </w:rPr>
      </w:pPr>
      <w:r>
        <w:rPr>
          <w:b/>
        </w:rPr>
        <w:t>Limit the maximum number of retransmissions in a Multi-TTI grant through an RRC parameter</w:t>
      </w:r>
    </w:p>
    <w:p w14:paraId="485F0320" w14:textId="56F574C6" w:rsidR="00CE2B61" w:rsidRDefault="00CE2B61" w:rsidP="0024048E">
      <w:pPr>
        <w:pStyle w:val="ListParagraph"/>
        <w:numPr>
          <w:ilvl w:val="0"/>
          <w:numId w:val="51"/>
        </w:numPr>
        <w:rPr>
          <w:b/>
        </w:rPr>
      </w:pPr>
      <w:r>
        <w:rPr>
          <w:b/>
        </w:rPr>
        <w:t>Some of the fields in the multi-TTI grant (e.g. CBGTI, RV) include the information only for HARQ process IDs corresponding to a retransmission.</w:t>
      </w:r>
    </w:p>
    <w:p w14:paraId="2184512A" w14:textId="7B17CE49" w:rsidR="0024048E" w:rsidRPr="006F4681" w:rsidRDefault="00CE2B61" w:rsidP="0024048E">
      <w:pPr>
        <w:pStyle w:val="ListParagraph"/>
        <w:numPr>
          <w:ilvl w:val="0"/>
          <w:numId w:val="51"/>
        </w:numPr>
        <w:rPr>
          <w:b/>
        </w:rPr>
      </w:pPr>
      <w:r>
        <w:rPr>
          <w:b/>
        </w:rPr>
        <w:t xml:space="preserve">UE determines which of the HARQ process IDs correspond to a retransmission </w:t>
      </w:r>
      <w:r w:rsidR="008F38F6">
        <w:rPr>
          <w:b/>
        </w:rPr>
        <w:t>via</w:t>
      </w:r>
      <w:r>
        <w:rPr>
          <w:b/>
        </w:rPr>
        <w:t xml:space="preserve"> explicit</w:t>
      </w:r>
      <w:r w:rsidR="008F38F6">
        <w:rPr>
          <w:b/>
        </w:rPr>
        <w:t xml:space="preserve"> indication in the grant</w:t>
      </w:r>
      <w:r>
        <w:rPr>
          <w:b/>
        </w:rPr>
        <w:t>.</w:t>
      </w:r>
      <w:r w:rsidR="0024048E" w:rsidRPr="006F4681">
        <w:rPr>
          <w:b/>
        </w:rPr>
        <w:t xml:space="preserve"> </w:t>
      </w:r>
    </w:p>
    <w:bookmarkEnd w:id="23"/>
    <w:p w14:paraId="5BCD9D42" w14:textId="599B97EA" w:rsidR="006C3180" w:rsidRDefault="008E661B" w:rsidP="006C3180">
      <w:pPr>
        <w:pStyle w:val="Heading2"/>
      </w:pPr>
      <w:r>
        <w:lastRenderedPageBreak/>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4pt;height:186pt" o:ole="">
            <v:imagedata r:id="rId23" o:title=""/>
          </v:shape>
          <o:OLEObject Type="Embed" ProgID="Visio.Drawing.11" ShapeID="_x0000_i1030" DrawAspect="Content" ObjectID="_1615373198" r:id="rId24"/>
        </w:object>
      </w:r>
    </w:p>
    <w:p w14:paraId="235BEC89" w14:textId="35276358" w:rsidR="00CA61C5" w:rsidRDefault="00D07B87" w:rsidP="00393913">
      <w:pPr>
        <w:pStyle w:val="Caption"/>
        <w:jc w:val="center"/>
      </w:pPr>
      <w:bookmarkStart w:id="24" w:name="_Ref521327881"/>
      <w:r>
        <w:t xml:space="preserve">Figure </w:t>
      </w:r>
      <w:r>
        <w:fldChar w:fldCharType="begin"/>
      </w:r>
      <w:r>
        <w:instrText xml:space="preserve"> SEQ Figure \* ARABIC </w:instrText>
      </w:r>
      <w:r>
        <w:fldChar w:fldCharType="separate"/>
      </w:r>
      <w:r w:rsidR="00DF5541">
        <w:rPr>
          <w:noProof/>
        </w:rPr>
        <w:t>7</w:t>
      </w:r>
      <w:r>
        <w:fldChar w:fldCharType="end"/>
      </w:r>
      <w:bookmarkEnd w:id="24"/>
      <w:r>
        <w:t>: Two-stage grant for scheduling PUSCH</w:t>
      </w:r>
    </w:p>
    <w:p w14:paraId="62238F38" w14:textId="404EA13E" w:rsidR="001D7AA3" w:rsidRDefault="001D7AA3" w:rsidP="00A022A3">
      <w:r>
        <w:t xml:space="preserve">As shown in </w:t>
      </w:r>
      <w:r>
        <w:fldChar w:fldCharType="begin"/>
      </w:r>
      <w:r>
        <w:instrText xml:space="preserve"> REF _Ref521327881 \h </w:instrText>
      </w:r>
      <w:r>
        <w:fldChar w:fldCharType="separate"/>
      </w:r>
      <w:r w:rsidR="00DF5541">
        <w:t xml:space="preserve">Figure </w:t>
      </w:r>
      <w:r w:rsidR="00DF5541">
        <w:rPr>
          <w:noProof/>
        </w:rPr>
        <w:t>7</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w:t>
      </w:r>
      <w:proofErr w:type="gramStart"/>
      <w:r>
        <w:t>has to</w:t>
      </w:r>
      <w:proofErr w:type="gramEnd"/>
      <w:r>
        <w:t xml:space="preserve"> decode the PDCCH to detect a grant and then it has to prepare the packet for PUSCH transmission.</w:t>
      </w:r>
      <w:r w:rsidR="00D07B87" w:rsidRPr="00D07B87">
        <w:t xml:space="preserve"> </w:t>
      </w:r>
      <w:r w:rsidR="00CA61C5" w:rsidRPr="00393913">
        <w:t xml:space="preserve">In </w:t>
      </w:r>
      <w:proofErr w:type="spellStart"/>
      <w:r w:rsidR="00D07B87">
        <w:t>eLAA</w:t>
      </w:r>
      <w:proofErr w:type="spellEnd"/>
      <w:r w:rsidR="00D07B87">
        <w:t xml:space="preserve">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DF5541">
        <w:t xml:space="preserve">Figure </w:t>
      </w:r>
      <w:r w:rsidR="00DF5541">
        <w:rPr>
          <w:noProof/>
        </w:rPr>
        <w:t>7</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3A01555E" w:rsidR="00CA61C5" w:rsidRDefault="00CA61C5" w:rsidP="00A022A3">
      <w:r>
        <w:t>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629BFB09" w:rsidR="00FD2E5C" w:rsidRPr="00307EED" w:rsidRDefault="00D07B87" w:rsidP="00307EED">
      <w:pPr>
        <w:rPr>
          <w:b/>
        </w:rPr>
      </w:pPr>
      <w:bookmarkStart w:id="25" w:name="p16"/>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DF5541">
        <w:rPr>
          <w:b/>
          <w:noProof/>
          <w:u w:val="single"/>
        </w:rPr>
        <w:t>15</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p>
    <w:bookmarkEnd w:id="25"/>
    <w:p w14:paraId="517FC57B" w14:textId="2344FC1B" w:rsidR="008D6BB8" w:rsidRDefault="008D6BB8" w:rsidP="00AD5768">
      <w:pPr>
        <w:pStyle w:val="Heading1"/>
      </w:pPr>
      <w:r w:rsidRPr="008D6BB8">
        <w:t>Conclusion</w:t>
      </w:r>
    </w:p>
    <w:p w14:paraId="14987893" w14:textId="397AFB2B" w:rsidR="00892742" w:rsidRDefault="00892742" w:rsidP="00892742">
      <w:r w:rsidRPr="00892742">
        <w:t>The proposals made in this contribution are summarized below</w:t>
      </w:r>
      <w:r w:rsidR="0014361B">
        <w:t>:</w:t>
      </w:r>
    </w:p>
    <w:p w14:paraId="45C55698" w14:textId="77777777" w:rsidR="00DF5541" w:rsidRDefault="003F6859" w:rsidP="00ED36EF">
      <w:r>
        <w:fldChar w:fldCharType="begin"/>
      </w:r>
      <w:r>
        <w:instrText xml:space="preserve"> REF p2 \h </w:instrText>
      </w:r>
      <w:r>
        <w:fldChar w:fldCharType="separate"/>
      </w:r>
      <w:r w:rsidR="00DF5541" w:rsidRPr="003B760D">
        <w:rPr>
          <w:b/>
          <w:u w:val="single"/>
        </w:rPr>
        <w:t xml:space="preserve">Proposal </w:t>
      </w:r>
      <w:r w:rsidR="00DF5541">
        <w:rPr>
          <w:b/>
          <w:noProof/>
          <w:u w:val="single"/>
        </w:rPr>
        <w:t>1</w:t>
      </w:r>
      <w:r w:rsidR="00DF5541" w:rsidRPr="003B760D">
        <w:rPr>
          <w:b/>
          <w:u w:val="single"/>
        </w:rPr>
        <w:t>:</w:t>
      </w:r>
      <w:r w:rsidR="00DF5541" w:rsidRPr="003B760D">
        <w:rPr>
          <w:b/>
        </w:rPr>
        <w:t xml:space="preserve"> </w:t>
      </w:r>
      <w:r w:rsidR="00DF5541">
        <w:rPr>
          <w:b/>
        </w:rPr>
        <w:t>Alt 2 and Alt 5 identified for m</w:t>
      </w:r>
      <w:r w:rsidR="00DF5541" w:rsidRPr="0014158A">
        <w:rPr>
          <w:b/>
        </w:rPr>
        <w:t>ultiple opportunities for HARQ A/N transmission</w:t>
      </w:r>
      <w:r w:rsidR="00DF5541">
        <w:rPr>
          <w:b/>
        </w:rPr>
        <w:t xml:space="preserve"> are not supported</w:t>
      </w:r>
    </w:p>
    <w:p w14:paraId="0B7F6C05" w14:textId="77777777" w:rsidR="00DF5541" w:rsidRPr="00E576EA" w:rsidRDefault="003F6859" w:rsidP="00A82B75">
      <w:r>
        <w:fldChar w:fldCharType="end"/>
      </w:r>
      <w:r>
        <w:fldChar w:fldCharType="begin"/>
      </w:r>
      <w:r>
        <w:instrText xml:space="preserve"> REF p3 \h </w:instrText>
      </w:r>
      <w:r>
        <w:fldChar w:fldCharType="separate"/>
      </w:r>
      <w:r w:rsidR="00DF5541" w:rsidRPr="003C413D">
        <w:rPr>
          <w:b/>
          <w:u w:val="single"/>
        </w:rPr>
        <w:t xml:space="preserve">Proposal </w:t>
      </w:r>
      <w:r w:rsidR="00DF5541">
        <w:rPr>
          <w:b/>
          <w:noProof/>
          <w:u w:val="single"/>
        </w:rPr>
        <w:t>2</w:t>
      </w:r>
      <w:r w:rsidR="00DF5541" w:rsidRPr="003C413D">
        <w:rPr>
          <w:b/>
          <w:u w:val="single"/>
        </w:rPr>
        <w:t>:</w:t>
      </w:r>
      <w:r w:rsidR="00DF5541" w:rsidRPr="003C413D">
        <w:rPr>
          <w:b/>
        </w:rPr>
        <w:t xml:space="preserve"> </w:t>
      </w:r>
      <w:r w:rsidR="00DF5541">
        <w:rPr>
          <w:b/>
        </w:rPr>
        <w:t>Allow for indication of extended HARQ-</w:t>
      </w:r>
      <w:r w:rsidR="00DF5541" w:rsidRPr="00532F59">
        <w:rPr>
          <w:b/>
        </w:rPr>
        <w:t>Ack feedback delay values through PRI field when a reserved value is indicated by PDSCH-to-HARQ-timing-indicator field</w:t>
      </w:r>
      <w:r w:rsidR="00DF5541">
        <w:rPr>
          <w:b/>
        </w:rPr>
        <w:t xml:space="preserve">. </w:t>
      </w:r>
      <w:r w:rsidR="00DF5541" w:rsidRPr="00532F59">
        <w:rPr>
          <w:b/>
        </w:rPr>
        <w:t>The PUCCH resource will be provided by a later DL grant pointing to the same HARQ-Ack transmission time.</w:t>
      </w:r>
    </w:p>
    <w:p w14:paraId="05113816" w14:textId="77777777" w:rsidR="00DF5541" w:rsidRDefault="003F6859" w:rsidP="00ED36EF">
      <w:pPr>
        <w:spacing w:after="0"/>
        <w:rPr>
          <w:b/>
        </w:rPr>
      </w:pPr>
      <w:r>
        <w:fldChar w:fldCharType="end"/>
      </w:r>
      <w:r w:rsidR="00C81FA0">
        <w:fldChar w:fldCharType="begin"/>
      </w:r>
      <w:r w:rsidR="00C81FA0">
        <w:instrText xml:space="preserve"> REF p3_1 \h </w:instrText>
      </w:r>
      <w:r w:rsidR="00C81FA0">
        <w:fldChar w:fldCharType="separate"/>
      </w:r>
      <w:r w:rsidR="00DF5541" w:rsidRPr="003C413D">
        <w:rPr>
          <w:b/>
          <w:u w:val="single"/>
        </w:rPr>
        <w:t xml:space="preserve">Proposal </w:t>
      </w:r>
      <w:r w:rsidR="00DF5541">
        <w:rPr>
          <w:b/>
          <w:noProof/>
          <w:u w:val="single"/>
        </w:rPr>
        <w:t>3</w:t>
      </w:r>
      <w:r w:rsidR="00DF5541" w:rsidRPr="003C413D">
        <w:rPr>
          <w:b/>
          <w:u w:val="single"/>
        </w:rPr>
        <w:t>:</w:t>
      </w:r>
      <w:r w:rsidR="00DF5541" w:rsidRPr="003C413D">
        <w:rPr>
          <w:b/>
        </w:rPr>
        <w:t xml:space="preserve"> Introduce </w:t>
      </w:r>
      <w:r w:rsidR="00DF5541">
        <w:rPr>
          <w:b/>
        </w:rPr>
        <w:t xml:space="preserve">the following </w:t>
      </w:r>
      <w:r w:rsidR="00DF5541" w:rsidRPr="003C413D">
        <w:rPr>
          <w:b/>
        </w:rPr>
        <w:t xml:space="preserve">mechanisms </w:t>
      </w:r>
      <w:r w:rsidR="00DF5541">
        <w:rPr>
          <w:b/>
        </w:rPr>
        <w:t>to trigger one-shot group</w:t>
      </w:r>
      <w:r w:rsidR="00DF5541" w:rsidRPr="003C413D">
        <w:rPr>
          <w:b/>
        </w:rPr>
        <w:t xml:space="preserve"> HARQ ACK </w:t>
      </w:r>
      <w:r w:rsidR="00DF5541">
        <w:rPr>
          <w:b/>
        </w:rPr>
        <w:t>feedback that contains or potentially contain HARQ-ACK feedback for all configured HARQ processes</w:t>
      </w:r>
    </w:p>
    <w:p w14:paraId="00A15AB2" w14:textId="77777777" w:rsidR="00DF5541" w:rsidRDefault="00DF5541" w:rsidP="00ED36EF">
      <w:pPr>
        <w:pStyle w:val="ListParagraph"/>
        <w:numPr>
          <w:ilvl w:val="0"/>
          <w:numId w:val="48"/>
        </w:numPr>
        <w:spacing w:after="0"/>
        <w:rPr>
          <w:b/>
        </w:rPr>
      </w:pPr>
      <w:r>
        <w:rPr>
          <w:b/>
        </w:rPr>
        <w:t>A trigger included in the DL PDSCH grant</w:t>
      </w:r>
    </w:p>
    <w:p w14:paraId="492102B4" w14:textId="77777777" w:rsidR="00DF5541" w:rsidRDefault="00DF5541" w:rsidP="00ED36EF">
      <w:pPr>
        <w:pStyle w:val="ListParagraph"/>
        <w:numPr>
          <w:ilvl w:val="0"/>
          <w:numId w:val="48"/>
        </w:numPr>
        <w:spacing w:after="0"/>
        <w:rPr>
          <w:b/>
        </w:rPr>
      </w:pPr>
      <w:r>
        <w:rPr>
          <w:b/>
        </w:rPr>
        <w:t>A trigger included in a PUSCH grant</w:t>
      </w:r>
    </w:p>
    <w:p w14:paraId="12719B65" w14:textId="77777777" w:rsidR="00DF5541" w:rsidRPr="00393913" w:rsidRDefault="00DF5541" w:rsidP="00ED36EF">
      <w:pPr>
        <w:pStyle w:val="ListParagraph"/>
        <w:numPr>
          <w:ilvl w:val="0"/>
          <w:numId w:val="48"/>
        </w:numPr>
        <w:spacing w:after="0"/>
        <w:rPr>
          <w:b/>
        </w:rPr>
      </w:pPr>
      <w:r>
        <w:rPr>
          <w:b/>
        </w:rPr>
        <w:t>A separate DCI</w:t>
      </w:r>
    </w:p>
    <w:p w14:paraId="091648A2" w14:textId="77777777" w:rsidR="00DF5541" w:rsidRDefault="00C81FA0" w:rsidP="00ED36EF">
      <w:pPr>
        <w:rPr>
          <w:b/>
        </w:rPr>
      </w:pPr>
      <w:r>
        <w:fldChar w:fldCharType="end"/>
      </w:r>
      <w:r w:rsidR="003F6859">
        <w:fldChar w:fldCharType="begin"/>
      </w:r>
      <w:r w:rsidR="003F6859">
        <w:instrText xml:space="preserve"> REF p4 \h </w:instrText>
      </w:r>
      <w:r w:rsidR="003F6859">
        <w:fldChar w:fldCharType="separate"/>
      </w:r>
      <w:r w:rsidR="00DF5541" w:rsidRPr="003C413D">
        <w:rPr>
          <w:b/>
          <w:u w:val="single"/>
        </w:rPr>
        <w:t xml:space="preserve">Proposal </w:t>
      </w:r>
      <w:r w:rsidR="00DF5541">
        <w:rPr>
          <w:b/>
          <w:noProof/>
          <w:u w:val="single"/>
        </w:rPr>
        <w:t>4</w:t>
      </w:r>
      <w:r w:rsidR="00DF5541" w:rsidRPr="003C413D">
        <w:rPr>
          <w:b/>
          <w:u w:val="single"/>
        </w:rPr>
        <w:t>:</w:t>
      </w:r>
      <w:r w:rsidR="00DF5541" w:rsidRPr="003C413D">
        <w:rPr>
          <w:b/>
        </w:rPr>
        <w:t xml:space="preserve"> </w:t>
      </w:r>
      <w:r w:rsidR="00DF5541">
        <w:rPr>
          <w:b/>
        </w:rPr>
        <w:t>If the trigger is included in the DL/UL grants, support including NDI bits in the one-shot group HARQ-ACK feedback. If the trigger is a separate DCI, support including NDI bits in the DCI.</w:t>
      </w:r>
    </w:p>
    <w:p w14:paraId="7B741A29" w14:textId="4BA076C6" w:rsidR="003F6859" w:rsidRDefault="003F6859" w:rsidP="001D5CC7">
      <w:r>
        <w:fldChar w:fldCharType="end"/>
      </w:r>
      <w:r>
        <w:fldChar w:fldCharType="begin"/>
      </w:r>
      <w:r>
        <w:instrText xml:space="preserve"> REF p5 \h </w:instrText>
      </w:r>
      <w:r>
        <w:fldChar w:fldCharType="separate"/>
      </w:r>
      <w:r w:rsidR="00DF5541" w:rsidRPr="003C413D">
        <w:rPr>
          <w:b/>
          <w:u w:val="single"/>
        </w:rPr>
        <w:t xml:space="preserve">Proposal </w:t>
      </w:r>
      <w:r w:rsidR="00DF5541">
        <w:rPr>
          <w:b/>
          <w:noProof/>
          <w:u w:val="single"/>
        </w:rPr>
        <w:t>5</w:t>
      </w:r>
      <w:r w:rsidR="00DF5541" w:rsidRPr="003C413D">
        <w:rPr>
          <w:b/>
          <w:u w:val="single"/>
        </w:rPr>
        <w:t>:</w:t>
      </w:r>
      <w:r w:rsidR="00DF5541" w:rsidRPr="003C413D">
        <w:rPr>
          <w:b/>
        </w:rPr>
        <w:t xml:space="preserve"> </w:t>
      </w:r>
      <w:r w:rsidR="00DF5541">
        <w:rPr>
          <w:b/>
        </w:rPr>
        <w:t>The one-shot group HARQ-ACK feedback should also support CBG level HARQ-ACK feedback</w:t>
      </w:r>
      <w:r>
        <w:fldChar w:fldCharType="end"/>
      </w:r>
    </w:p>
    <w:p w14:paraId="21965B08" w14:textId="77777777" w:rsidR="00DF5541" w:rsidRPr="006B1617" w:rsidRDefault="003F6859" w:rsidP="001D5CC7">
      <w:pPr>
        <w:rPr>
          <w:b/>
        </w:rPr>
      </w:pPr>
      <w:r>
        <w:fldChar w:fldCharType="begin"/>
      </w:r>
      <w:r>
        <w:instrText xml:space="preserve"> REF p6 \h </w:instrText>
      </w:r>
      <w:r>
        <w:fldChar w:fldCharType="separate"/>
      </w:r>
      <w:r w:rsidR="00DF5541" w:rsidRPr="006B1617">
        <w:rPr>
          <w:b/>
          <w:u w:val="single"/>
        </w:rPr>
        <w:t xml:space="preserve">Proposal </w:t>
      </w:r>
      <w:r w:rsidR="00DF5541">
        <w:rPr>
          <w:b/>
          <w:noProof/>
          <w:u w:val="single"/>
        </w:rPr>
        <w:t>6</w:t>
      </w:r>
      <w:r w:rsidR="00DF5541" w:rsidRPr="006B1617">
        <w:rPr>
          <w:b/>
          <w:u w:val="single"/>
        </w:rPr>
        <w:t>:</w:t>
      </w:r>
      <w:r w:rsidR="00DF5541" w:rsidRPr="006B1617">
        <w:rPr>
          <w:b/>
        </w:rPr>
        <w:t xml:space="preserve"> </w:t>
      </w:r>
      <w:r w:rsidR="00DF5541">
        <w:rPr>
          <w:b/>
        </w:rPr>
        <w:t>Introduce compression schemes to reduce the HARQ-ACK feedback overhead for CBG based one-shot group HARQ-ACK feedback</w:t>
      </w:r>
    </w:p>
    <w:p w14:paraId="5D1F9A39" w14:textId="68678FE8" w:rsidR="003F6859" w:rsidRDefault="003F6859" w:rsidP="00992478">
      <w:r>
        <w:fldChar w:fldCharType="end"/>
      </w:r>
      <w:r>
        <w:fldChar w:fldCharType="begin"/>
      </w:r>
      <w:r>
        <w:instrText xml:space="preserve"> REF p7 \h </w:instrText>
      </w:r>
      <w:r>
        <w:fldChar w:fldCharType="separate"/>
      </w:r>
      <w:r w:rsidR="00DF5541" w:rsidRPr="00862899">
        <w:rPr>
          <w:b/>
          <w:u w:val="single"/>
        </w:rPr>
        <w:t xml:space="preserve">Proposal </w:t>
      </w:r>
      <w:r w:rsidR="00DF5541">
        <w:rPr>
          <w:b/>
          <w:noProof/>
          <w:u w:val="single"/>
        </w:rPr>
        <w:t>7</w:t>
      </w:r>
      <w:r w:rsidR="00DF5541" w:rsidRPr="00862899">
        <w:rPr>
          <w:b/>
          <w:u w:val="single"/>
        </w:rPr>
        <w:t>:</w:t>
      </w:r>
      <w:r w:rsidR="00DF5541" w:rsidRPr="00862899">
        <w:rPr>
          <w:b/>
        </w:rPr>
        <w:t xml:space="preserve"> Introduce a new field in the </w:t>
      </w:r>
      <w:r w:rsidR="00DF5541">
        <w:rPr>
          <w:b/>
        </w:rPr>
        <w:t>DL grant</w:t>
      </w:r>
      <w:r w:rsidR="00DF5541" w:rsidRPr="00862899">
        <w:rPr>
          <w:b/>
        </w:rPr>
        <w:t xml:space="preserve"> that controls the max delay considered in </w:t>
      </w:r>
      <w:r w:rsidR="00DF5541">
        <w:rPr>
          <w:b/>
        </w:rPr>
        <w:t xml:space="preserve">semi-static </w:t>
      </w:r>
      <w:r w:rsidR="00DF5541" w:rsidRPr="00862899">
        <w:rPr>
          <w:b/>
        </w:rPr>
        <w:t>HARQ ACK codebook size determination</w:t>
      </w:r>
      <w:r w:rsidR="00DF5541">
        <w:rPr>
          <w:b/>
        </w:rPr>
        <w:t>.</w:t>
      </w:r>
      <w:r>
        <w:fldChar w:fldCharType="end"/>
      </w:r>
    </w:p>
    <w:p w14:paraId="340E57ED" w14:textId="77777777" w:rsidR="00DF5541" w:rsidRDefault="003F6859" w:rsidP="00992478">
      <w:pPr>
        <w:rPr>
          <w:b/>
        </w:rPr>
      </w:pPr>
      <w:r>
        <w:lastRenderedPageBreak/>
        <w:fldChar w:fldCharType="begin"/>
      </w:r>
      <w:r>
        <w:instrText xml:space="preserve"> REF p8 \h </w:instrText>
      </w:r>
      <w:r>
        <w:fldChar w:fldCharType="separate"/>
      </w:r>
      <w:r w:rsidR="00DF5541" w:rsidRPr="00862899">
        <w:rPr>
          <w:b/>
          <w:u w:val="single"/>
        </w:rPr>
        <w:t xml:space="preserve">Proposal </w:t>
      </w:r>
      <w:r w:rsidR="00DF5541">
        <w:rPr>
          <w:b/>
          <w:noProof/>
          <w:u w:val="single"/>
        </w:rPr>
        <w:t>8</w:t>
      </w:r>
      <w:r w:rsidR="00DF5541" w:rsidRPr="00862899">
        <w:rPr>
          <w:b/>
          <w:u w:val="single"/>
        </w:rPr>
        <w:t>:</w:t>
      </w:r>
      <w:r w:rsidR="00DF5541" w:rsidRPr="00862899">
        <w:rPr>
          <w:b/>
        </w:rPr>
        <w:t xml:space="preserve"> Introduce a new field in the </w:t>
      </w:r>
      <w:r w:rsidR="00DF5541">
        <w:rPr>
          <w:b/>
        </w:rPr>
        <w:t>DL grant</w:t>
      </w:r>
      <w:r w:rsidR="00DF5541" w:rsidRPr="00862899">
        <w:rPr>
          <w:b/>
        </w:rPr>
        <w:t xml:space="preserve"> that </w:t>
      </w:r>
      <w:r w:rsidR="00DF5541">
        <w:rPr>
          <w:b/>
        </w:rPr>
        <w:t xml:space="preserve">indicates the carriers to consider for codebook size determination. </w:t>
      </w:r>
    </w:p>
    <w:p w14:paraId="138EDF69" w14:textId="77777777" w:rsidR="00DF5541" w:rsidRPr="009A35AA" w:rsidRDefault="003F6859" w:rsidP="0043315E">
      <w:pPr>
        <w:rPr>
          <w:b/>
        </w:rPr>
      </w:pPr>
      <w:r>
        <w:fldChar w:fldCharType="end"/>
      </w:r>
      <w:r>
        <w:fldChar w:fldCharType="begin"/>
      </w:r>
      <w:r>
        <w:instrText xml:space="preserve"> REF p9 \h </w:instrText>
      </w:r>
      <w:r>
        <w:fldChar w:fldCharType="separate"/>
      </w:r>
      <w:r w:rsidR="00DF5541" w:rsidRPr="00862899">
        <w:rPr>
          <w:b/>
          <w:u w:val="single"/>
        </w:rPr>
        <w:t xml:space="preserve">Proposal </w:t>
      </w:r>
      <w:r w:rsidR="00DF5541">
        <w:rPr>
          <w:b/>
          <w:noProof/>
          <w:u w:val="single"/>
        </w:rPr>
        <w:t>9</w:t>
      </w:r>
      <w:r w:rsidR="00DF5541" w:rsidRPr="00862899">
        <w:rPr>
          <w:b/>
          <w:u w:val="single"/>
        </w:rPr>
        <w:t>:</w:t>
      </w:r>
      <w:r w:rsidR="00DF5541" w:rsidRPr="00862899">
        <w:rPr>
          <w:b/>
        </w:rPr>
        <w:t xml:space="preserve"> Introduce </w:t>
      </w:r>
      <w:r w:rsidR="00DF5541">
        <w:rPr>
          <w:b/>
        </w:rPr>
        <w:t>mechanism to convey the following information through DL grant</w:t>
      </w:r>
    </w:p>
    <w:p w14:paraId="6B1D685A" w14:textId="77777777" w:rsidR="00DF5541" w:rsidRDefault="00DF5541" w:rsidP="00EE59E6">
      <w:pPr>
        <w:pStyle w:val="ListParagraph"/>
        <w:numPr>
          <w:ilvl w:val="0"/>
          <w:numId w:val="66"/>
        </w:numPr>
        <w:rPr>
          <w:b/>
        </w:rPr>
      </w:pPr>
      <w:r w:rsidRPr="009A35AA">
        <w:rPr>
          <w:b/>
        </w:rPr>
        <w:t xml:space="preserve">Current ACK-Feedback-Group index </w:t>
      </w:r>
    </w:p>
    <w:p w14:paraId="62394126" w14:textId="77777777" w:rsidR="00DF5541" w:rsidRPr="009A35AA" w:rsidRDefault="00DF5541" w:rsidP="009A35AA">
      <w:pPr>
        <w:pStyle w:val="ListParagraph"/>
        <w:numPr>
          <w:ilvl w:val="1"/>
          <w:numId w:val="66"/>
        </w:numPr>
        <w:rPr>
          <w:b/>
        </w:rPr>
      </w:pPr>
      <w:r>
        <w:rPr>
          <w:b/>
        </w:rPr>
        <w:t>FFS implicit or explicit indication</w:t>
      </w:r>
    </w:p>
    <w:p w14:paraId="498543C4" w14:textId="77777777" w:rsidR="00DF5541" w:rsidRPr="009A35AA" w:rsidRDefault="00DF5541" w:rsidP="00EE59E6">
      <w:pPr>
        <w:pStyle w:val="ListParagraph"/>
        <w:numPr>
          <w:ilvl w:val="0"/>
          <w:numId w:val="66"/>
        </w:numPr>
        <w:rPr>
          <w:b/>
        </w:rPr>
      </w:pPr>
      <w:r w:rsidRPr="009A35AA">
        <w:rPr>
          <w:b/>
        </w:rPr>
        <w:t xml:space="preserve">Indicator for </w:t>
      </w:r>
      <w:r>
        <w:rPr>
          <w:b/>
        </w:rPr>
        <w:t>additional</w:t>
      </w:r>
      <w:r w:rsidRPr="009A35AA">
        <w:rPr>
          <w:b/>
        </w:rPr>
        <w:t xml:space="preserve"> ACK-Feedback-Group</w:t>
      </w:r>
      <w:r>
        <w:rPr>
          <w:b/>
        </w:rPr>
        <w:t>(s)</w:t>
      </w:r>
      <w:r w:rsidRPr="009A35AA">
        <w:rPr>
          <w:b/>
        </w:rPr>
        <w:t xml:space="preserve"> </w:t>
      </w:r>
      <w:r>
        <w:rPr>
          <w:b/>
        </w:rPr>
        <w:t xml:space="preserve">whose ACK feedback is </w:t>
      </w:r>
      <w:r w:rsidRPr="009A35AA">
        <w:rPr>
          <w:b/>
        </w:rPr>
        <w:t xml:space="preserve">to </w:t>
      </w:r>
      <w:r>
        <w:rPr>
          <w:b/>
        </w:rPr>
        <w:t xml:space="preserve">be </w:t>
      </w:r>
      <w:r w:rsidRPr="009A35AA">
        <w:rPr>
          <w:b/>
        </w:rPr>
        <w:t>include</w:t>
      </w:r>
      <w:r>
        <w:rPr>
          <w:b/>
        </w:rPr>
        <w:t>d</w:t>
      </w:r>
      <w:r w:rsidRPr="009A35AA">
        <w:rPr>
          <w:b/>
        </w:rPr>
        <w:t xml:space="preserve"> along with the current ACK feedback (e.g. bitmap, index of another ACK-Feedback-Group)</w:t>
      </w:r>
    </w:p>
    <w:p w14:paraId="1885A4CD" w14:textId="77777777" w:rsidR="00DF5541" w:rsidRDefault="00DF5541" w:rsidP="00EE59E6">
      <w:pPr>
        <w:pStyle w:val="ListParagraph"/>
        <w:numPr>
          <w:ilvl w:val="0"/>
          <w:numId w:val="66"/>
        </w:numPr>
        <w:rPr>
          <w:b/>
        </w:rPr>
      </w:pPr>
      <w:r w:rsidRPr="009A35AA">
        <w:rPr>
          <w:b/>
        </w:rPr>
        <w:t>A New Ack-Feedback Group Indicator (NGI) bit for each ACK-Feedback-Grou</w:t>
      </w:r>
      <w:r>
        <w:rPr>
          <w:b/>
        </w:rPr>
        <w:t>p that operates like the NDI bit for HARQ operation</w:t>
      </w:r>
    </w:p>
    <w:p w14:paraId="5A1003D8" w14:textId="77777777" w:rsidR="00DF5541" w:rsidRPr="009A35AA" w:rsidRDefault="00DF5541" w:rsidP="009A35AA">
      <w:pPr>
        <w:pStyle w:val="ListParagraph"/>
        <w:numPr>
          <w:ilvl w:val="1"/>
          <w:numId w:val="66"/>
        </w:numPr>
        <w:rPr>
          <w:b/>
        </w:rPr>
      </w:pPr>
      <w:r>
        <w:rPr>
          <w:b/>
        </w:rPr>
        <w:t>Further details FFS</w:t>
      </w:r>
    </w:p>
    <w:p w14:paraId="2FEAC846" w14:textId="77777777" w:rsidR="00DF5541" w:rsidRPr="002139EA" w:rsidRDefault="003F6859" w:rsidP="00EE59E6">
      <w:pPr>
        <w:rPr>
          <w:b/>
        </w:rPr>
      </w:pPr>
      <w:r>
        <w:fldChar w:fldCharType="end"/>
      </w:r>
      <w:r>
        <w:fldChar w:fldCharType="begin"/>
      </w:r>
      <w:r>
        <w:instrText xml:space="preserve"> REF p10 \h </w:instrText>
      </w:r>
      <w:r>
        <w:fldChar w:fldCharType="separate"/>
      </w:r>
      <w:r w:rsidR="00DF5541" w:rsidRPr="00862899">
        <w:rPr>
          <w:b/>
          <w:u w:val="single"/>
        </w:rPr>
        <w:t xml:space="preserve">Proposal </w:t>
      </w:r>
      <w:r w:rsidR="00DF5541">
        <w:rPr>
          <w:b/>
          <w:noProof/>
          <w:u w:val="single"/>
        </w:rPr>
        <w:t>10</w:t>
      </w:r>
      <w:r w:rsidR="00DF5541" w:rsidRPr="00862899">
        <w:rPr>
          <w:b/>
          <w:u w:val="single"/>
        </w:rPr>
        <w:t>:</w:t>
      </w:r>
      <w:r w:rsidR="00DF5541" w:rsidRPr="00862899">
        <w:rPr>
          <w:b/>
        </w:rPr>
        <w:t xml:space="preserve"> </w:t>
      </w:r>
      <w:r w:rsidR="00DF5541">
        <w:rPr>
          <w:b/>
        </w:rPr>
        <w:t>The DAI counter field in DL grants that request including of ACK feedback for</w:t>
      </w:r>
      <w:r w:rsidR="00DF5541" w:rsidRPr="002139EA">
        <w:rPr>
          <w:b/>
        </w:rPr>
        <w:t xml:space="preserve"> </w:t>
      </w:r>
      <w:r w:rsidR="00DF5541">
        <w:rPr>
          <w:b/>
        </w:rPr>
        <w:t>additional</w:t>
      </w:r>
      <w:r w:rsidR="00DF5541" w:rsidRPr="002139EA">
        <w:rPr>
          <w:b/>
        </w:rPr>
        <w:t xml:space="preserve"> ACK-Feedback-Group</w:t>
      </w:r>
      <w:r w:rsidR="00DF5541">
        <w:rPr>
          <w:b/>
        </w:rPr>
        <w:t xml:space="preserve">(s) should count the DAI of those additional </w:t>
      </w:r>
      <w:r w:rsidR="00DF5541" w:rsidRPr="002139EA">
        <w:rPr>
          <w:b/>
        </w:rPr>
        <w:t>ACK-Feedback-Group</w:t>
      </w:r>
      <w:r w:rsidR="00DF5541">
        <w:rPr>
          <w:b/>
        </w:rPr>
        <w:t>(s) as well</w:t>
      </w:r>
    </w:p>
    <w:p w14:paraId="6D6971BC" w14:textId="77777777" w:rsidR="00DF5541" w:rsidRPr="00D336D3" w:rsidRDefault="003F6859" w:rsidP="0043315E">
      <w:pPr>
        <w:rPr>
          <w:b/>
        </w:rPr>
      </w:pPr>
      <w:r>
        <w:fldChar w:fldCharType="end"/>
      </w:r>
      <w:r>
        <w:fldChar w:fldCharType="begin"/>
      </w:r>
      <w:r>
        <w:instrText xml:space="preserve"> REF p11 \h </w:instrText>
      </w:r>
      <w:r>
        <w:fldChar w:fldCharType="separate"/>
      </w:r>
      <w:r w:rsidR="00DF5541" w:rsidRPr="00D336D3">
        <w:rPr>
          <w:b/>
          <w:u w:val="single"/>
        </w:rPr>
        <w:t xml:space="preserve">Proposal </w:t>
      </w:r>
      <w:r w:rsidR="00DF5541">
        <w:rPr>
          <w:b/>
          <w:noProof/>
          <w:u w:val="single"/>
        </w:rPr>
        <w:t>11</w:t>
      </w:r>
      <w:r w:rsidR="00DF5541" w:rsidRPr="00D336D3">
        <w:rPr>
          <w:b/>
          <w:u w:val="single"/>
        </w:rPr>
        <w:t>:</w:t>
      </w:r>
      <w:r w:rsidR="00DF5541" w:rsidRPr="00D336D3">
        <w:rPr>
          <w:b/>
        </w:rPr>
        <w:t xml:space="preserve"> Number of bits in the UL PUSCH </w:t>
      </w:r>
      <w:r w:rsidR="00DF5541">
        <w:rPr>
          <w:b/>
        </w:rPr>
        <w:t>time domain resource assignment field</w:t>
      </w:r>
      <w:r w:rsidR="00DF5541" w:rsidRPr="00D336D3">
        <w:rPr>
          <w:b/>
        </w:rPr>
        <w:t xml:space="preserve"> are increased</w:t>
      </w:r>
    </w:p>
    <w:p w14:paraId="661DA2CE" w14:textId="77777777" w:rsidR="00DF5541" w:rsidRDefault="003F6859" w:rsidP="00A022A3">
      <w:pPr>
        <w:rPr>
          <w:b/>
        </w:rPr>
      </w:pPr>
      <w:r>
        <w:fldChar w:fldCharType="end"/>
      </w:r>
      <w:r>
        <w:fldChar w:fldCharType="begin"/>
      </w:r>
      <w:r>
        <w:instrText xml:space="preserve"> REF p12 \h </w:instrText>
      </w:r>
      <w:r>
        <w:fldChar w:fldCharType="separate"/>
      </w:r>
      <w:r w:rsidR="00DF5541" w:rsidRPr="00D336D3">
        <w:rPr>
          <w:b/>
          <w:u w:val="single"/>
        </w:rPr>
        <w:t xml:space="preserve">Proposal </w:t>
      </w:r>
      <w:r w:rsidR="00DF5541">
        <w:rPr>
          <w:b/>
          <w:noProof/>
          <w:u w:val="single"/>
        </w:rPr>
        <w:t>12</w:t>
      </w:r>
      <w:r w:rsidR="00DF5541" w:rsidRPr="00D336D3">
        <w:rPr>
          <w:b/>
          <w:u w:val="single"/>
        </w:rPr>
        <w:t>:</w:t>
      </w:r>
      <w:r w:rsidR="00DF5541" w:rsidRPr="00D336D3">
        <w:rPr>
          <w:b/>
        </w:rPr>
        <w:t xml:space="preserve"> The multi-TTI grants should include support for transmitting mini-slots in the initial portion of the transmission followed by </w:t>
      </w:r>
      <w:r w:rsidR="00DF5541">
        <w:rPr>
          <w:b/>
        </w:rPr>
        <w:t xml:space="preserve">switching to </w:t>
      </w:r>
      <w:r w:rsidR="00DF5541" w:rsidRPr="00D336D3">
        <w:rPr>
          <w:b/>
        </w:rPr>
        <w:t>full slot at slot boundaries</w:t>
      </w:r>
    </w:p>
    <w:p w14:paraId="51BF8A23" w14:textId="4637F2F6" w:rsidR="009E6390" w:rsidRDefault="003F6859" w:rsidP="00EE18D1">
      <w:r>
        <w:fldChar w:fldCharType="end"/>
      </w:r>
      <w:r>
        <w:fldChar w:fldCharType="begin"/>
      </w:r>
      <w:r>
        <w:instrText xml:space="preserve"> REF p14 \h </w:instrText>
      </w:r>
      <w:r>
        <w:fldChar w:fldCharType="separate"/>
      </w:r>
      <w:r w:rsidR="00DF5541" w:rsidRPr="00307EED">
        <w:rPr>
          <w:b/>
          <w:u w:val="single"/>
        </w:rPr>
        <w:t xml:space="preserve">Proposal </w:t>
      </w:r>
      <w:r w:rsidR="00DF5541">
        <w:rPr>
          <w:b/>
          <w:noProof/>
          <w:u w:val="single"/>
        </w:rPr>
        <w:t>13</w:t>
      </w:r>
      <w:r w:rsidR="00DF5541" w:rsidRPr="00307EED">
        <w:rPr>
          <w:b/>
          <w:u w:val="single"/>
        </w:rPr>
        <w:t>:</w:t>
      </w:r>
      <w:r w:rsidR="00DF5541" w:rsidRPr="00307EED">
        <w:rPr>
          <w:b/>
        </w:rPr>
        <w:t xml:space="preserve"> The multi-TTI grants should also support CBG based retransmissions</w:t>
      </w:r>
      <w:r w:rsidR="00DF5541">
        <w:rPr>
          <w:b/>
        </w:rPr>
        <w:t>.</w:t>
      </w:r>
      <w:r>
        <w:fldChar w:fldCharType="end"/>
      </w:r>
    </w:p>
    <w:p w14:paraId="699C53DE" w14:textId="77777777" w:rsidR="00DF5541" w:rsidRPr="00307EED" w:rsidRDefault="003F6859" w:rsidP="00EE18D1">
      <w:pPr>
        <w:rPr>
          <w:b/>
        </w:rPr>
      </w:pPr>
      <w:r>
        <w:fldChar w:fldCharType="begin"/>
      </w:r>
      <w:r>
        <w:instrText xml:space="preserve"> REF p15 \h </w:instrText>
      </w:r>
      <w:r>
        <w:fldChar w:fldCharType="separate"/>
      </w:r>
      <w:r w:rsidR="00DF5541" w:rsidRPr="00307EED">
        <w:rPr>
          <w:b/>
          <w:u w:val="single"/>
        </w:rPr>
        <w:t xml:space="preserve">Proposal </w:t>
      </w:r>
      <w:r w:rsidR="00DF5541">
        <w:rPr>
          <w:b/>
          <w:noProof/>
          <w:u w:val="single"/>
        </w:rPr>
        <w:t>14</w:t>
      </w:r>
      <w:r w:rsidR="00DF5541" w:rsidRPr="00307EED">
        <w:rPr>
          <w:b/>
          <w:u w:val="single"/>
        </w:rPr>
        <w:t>:</w:t>
      </w:r>
      <w:r w:rsidR="00DF5541">
        <w:rPr>
          <w:b/>
        </w:rPr>
        <w:t xml:space="preserve"> </w:t>
      </w:r>
      <w:r w:rsidR="00DF5541" w:rsidRPr="00307EED">
        <w:rPr>
          <w:b/>
        </w:rPr>
        <w:t>Introduce the following scheme to reduce the DCI size of multi-TTI grant</w:t>
      </w:r>
    </w:p>
    <w:p w14:paraId="2D4A6CE7" w14:textId="77777777" w:rsidR="00DF5541" w:rsidRPr="006F4681" w:rsidRDefault="00DF5541" w:rsidP="0024048E">
      <w:pPr>
        <w:pStyle w:val="ListParagraph"/>
        <w:numPr>
          <w:ilvl w:val="0"/>
          <w:numId w:val="51"/>
        </w:numPr>
        <w:rPr>
          <w:b/>
        </w:rPr>
      </w:pPr>
      <w:r>
        <w:rPr>
          <w:b/>
        </w:rPr>
        <w:t>Limit the maximum number of retransmissions in a Multi-TTI grant through an RRC parameter</w:t>
      </w:r>
    </w:p>
    <w:p w14:paraId="1B409A0F" w14:textId="77777777" w:rsidR="00DF5541" w:rsidRDefault="00DF5541" w:rsidP="0024048E">
      <w:pPr>
        <w:pStyle w:val="ListParagraph"/>
        <w:numPr>
          <w:ilvl w:val="0"/>
          <w:numId w:val="51"/>
        </w:numPr>
        <w:rPr>
          <w:b/>
        </w:rPr>
      </w:pPr>
      <w:r>
        <w:rPr>
          <w:b/>
        </w:rPr>
        <w:t>Some of the fields in the multi-TTI grant (e.g. CBGTI, RV) include the information only for HARQ process IDs corresponding to a retransmission.</w:t>
      </w:r>
    </w:p>
    <w:p w14:paraId="1862F783" w14:textId="77777777" w:rsidR="00DF5541" w:rsidRPr="006F4681" w:rsidRDefault="00DF5541" w:rsidP="0024048E">
      <w:pPr>
        <w:pStyle w:val="ListParagraph"/>
        <w:numPr>
          <w:ilvl w:val="0"/>
          <w:numId w:val="51"/>
        </w:numPr>
        <w:rPr>
          <w:b/>
        </w:rPr>
      </w:pPr>
      <w:r>
        <w:rPr>
          <w:b/>
        </w:rPr>
        <w:t>UE determines which of the HARQ process IDs correspond to a retransmission via explicit indication in the grant.</w:t>
      </w:r>
      <w:r w:rsidRPr="006F4681">
        <w:rPr>
          <w:b/>
        </w:rPr>
        <w:t xml:space="preserve"> </w:t>
      </w:r>
    </w:p>
    <w:p w14:paraId="0B1D32B3" w14:textId="77777777" w:rsidR="00DF5541" w:rsidRPr="00307EED" w:rsidRDefault="003F6859" w:rsidP="00307EED">
      <w:pPr>
        <w:rPr>
          <w:b/>
        </w:rPr>
      </w:pPr>
      <w:r>
        <w:fldChar w:fldCharType="end"/>
      </w:r>
      <w:r w:rsidRPr="006A0407">
        <w:rPr>
          <w:b/>
        </w:rPr>
        <w:fldChar w:fldCharType="begin"/>
      </w:r>
      <w:r w:rsidRPr="006A0407">
        <w:rPr>
          <w:b/>
        </w:rPr>
        <w:instrText xml:space="preserve"> REF p16 \h </w:instrText>
      </w:r>
      <w:r w:rsidR="009E6390" w:rsidRPr="006A0407">
        <w:rPr>
          <w:b/>
        </w:rPr>
        <w:instrText xml:space="preserve"> \* MERGEFORMAT </w:instrText>
      </w:r>
      <w:r w:rsidRPr="006A0407">
        <w:rPr>
          <w:b/>
        </w:rPr>
      </w:r>
      <w:r w:rsidRPr="006A0407">
        <w:rPr>
          <w:b/>
        </w:rPr>
        <w:fldChar w:fldCharType="separate"/>
      </w:r>
      <w:r w:rsidR="00DF5541" w:rsidRPr="00D336D3">
        <w:rPr>
          <w:b/>
          <w:u w:val="single"/>
        </w:rPr>
        <w:t xml:space="preserve">Proposal </w:t>
      </w:r>
      <w:r w:rsidR="00DF5541">
        <w:rPr>
          <w:b/>
          <w:noProof/>
          <w:u w:val="single"/>
        </w:rPr>
        <w:t>15</w:t>
      </w:r>
      <w:r w:rsidR="00DF5541" w:rsidRPr="00D336D3">
        <w:rPr>
          <w:b/>
          <w:u w:val="single"/>
        </w:rPr>
        <w:t>:</w:t>
      </w:r>
      <w:r w:rsidR="00DF5541" w:rsidRPr="00D336D3">
        <w:rPr>
          <w:b/>
        </w:rPr>
        <w:t xml:space="preserve"> T</w:t>
      </w:r>
      <w:r w:rsidR="00DF5541">
        <w:rPr>
          <w:b/>
        </w:rPr>
        <w:t>wo-stage grant where a first grant gives the parameters necessary for PUSCH transmission preparation and a second grant that provides the trigger for PUSCH transmission should be supported for scheduling PUSCH</w:t>
      </w:r>
    </w:p>
    <w:p w14:paraId="45BBCE98" w14:textId="0576953A" w:rsidR="003F6859" w:rsidRDefault="003F6859" w:rsidP="009E6390">
      <w:r w:rsidRPr="006A0407">
        <w:rPr>
          <w:b/>
        </w:rPr>
        <w:fldChar w:fldCharType="end"/>
      </w:r>
    </w:p>
    <w:p w14:paraId="371A46D5" w14:textId="5E8D768E" w:rsidR="00427643" w:rsidRPr="0099619E" w:rsidRDefault="00427643" w:rsidP="00AD5768">
      <w:pPr>
        <w:pStyle w:val="Heading1"/>
        <w:numPr>
          <w:ilvl w:val="0"/>
          <w:numId w:val="0"/>
        </w:numPr>
        <w:rPr>
          <w:lang w:val="en-US"/>
        </w:rPr>
      </w:pPr>
      <w:r w:rsidRPr="0099619E">
        <w:rPr>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w:t>
      </w:r>
      <w:proofErr w:type="gramStart"/>
      <w:r w:rsidR="003F6859">
        <w:rPr>
          <w:rFonts w:ascii="Times New Roman" w:hAnsi="Times New Roman"/>
          <w:lang w:eastAsia="ko-KR"/>
        </w:rPr>
        <w:t>1901</w:t>
      </w:r>
      <w:r>
        <w:rPr>
          <w:rFonts w:ascii="Times New Roman" w:hAnsi="Times New Roman"/>
          <w:lang w:eastAsia="ko-KR"/>
        </w:rPr>
        <w:t xml:space="preserve">, </w:t>
      </w:r>
      <w:r w:rsidR="003F6859">
        <w:rPr>
          <w:rFonts w:ascii="Times New Roman" w:hAnsi="Times New Roman"/>
          <w:lang w:eastAsia="ko-KR"/>
        </w:rPr>
        <w:t xml:space="preserve"> Taipei</w:t>
      </w:r>
      <w:proofErr w:type="gramEnd"/>
      <w:r w:rsidR="003F6859">
        <w:rPr>
          <w:rFonts w:ascii="Times New Roman" w:hAnsi="Times New Roman"/>
          <w:lang w:eastAsia="ko-KR"/>
        </w:rPr>
        <w:t>, Taiwan, 21-25 Jan. 2019</w:t>
      </w:r>
      <w:r>
        <w:rPr>
          <w:rFonts w:ascii="Times New Roman" w:hAnsi="Times New Roman"/>
          <w:lang w:eastAsia="ko-KR"/>
        </w:rPr>
        <w:t>.</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2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3E7D0" w14:textId="77777777" w:rsidR="000630E3" w:rsidRDefault="000630E3"/>
  </w:endnote>
  <w:endnote w:type="continuationSeparator" w:id="0">
    <w:p w14:paraId="3EBFDEEE" w14:textId="77777777" w:rsidR="000630E3" w:rsidRDefault="000630E3"/>
  </w:endnote>
  <w:endnote w:type="continuationNotice" w:id="1">
    <w:p w14:paraId="39E1DFEB" w14:textId="77777777" w:rsidR="000630E3" w:rsidRDefault="00063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0630E3" w:rsidRDefault="000630E3">
    <w:pPr>
      <w:pStyle w:val="Footer"/>
    </w:pPr>
  </w:p>
  <w:p w14:paraId="3A68EC39" w14:textId="77777777" w:rsidR="000630E3" w:rsidRDefault="00063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6085E" w14:textId="77777777" w:rsidR="000630E3" w:rsidRDefault="000630E3"/>
  </w:footnote>
  <w:footnote w:type="continuationSeparator" w:id="0">
    <w:p w14:paraId="430CFCEB" w14:textId="77777777" w:rsidR="000630E3" w:rsidRDefault="000630E3"/>
  </w:footnote>
  <w:footnote w:type="continuationNotice" w:id="1">
    <w:p w14:paraId="5EC1C19B" w14:textId="77777777" w:rsidR="000630E3" w:rsidRDefault="000630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274FF"/>
    <w:multiLevelType w:val="hybridMultilevel"/>
    <w:tmpl w:val="4CB8A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02D36"/>
    <w:multiLevelType w:val="hybridMultilevel"/>
    <w:tmpl w:val="35F8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EA5377C"/>
    <w:multiLevelType w:val="hybridMultilevel"/>
    <w:tmpl w:val="8FE0F25E"/>
    <w:lvl w:ilvl="0" w:tplc="A606E354">
      <w:start w:val="1"/>
      <w:numFmt w:val="bullet"/>
      <w:lvlText w:val=""/>
      <w:lvlJc w:val="left"/>
      <w:pPr>
        <w:tabs>
          <w:tab w:val="num" w:pos="720"/>
        </w:tabs>
        <w:ind w:left="720" w:hanging="360"/>
      </w:pPr>
      <w:rPr>
        <w:rFonts w:ascii="Symbol" w:hAnsi="Symbol" w:hint="default"/>
      </w:rPr>
    </w:lvl>
    <w:lvl w:ilvl="1" w:tplc="8C7AC600" w:tentative="1">
      <w:start w:val="1"/>
      <w:numFmt w:val="bullet"/>
      <w:lvlText w:val=""/>
      <w:lvlJc w:val="left"/>
      <w:pPr>
        <w:tabs>
          <w:tab w:val="num" w:pos="1440"/>
        </w:tabs>
        <w:ind w:left="1440" w:hanging="360"/>
      </w:pPr>
      <w:rPr>
        <w:rFonts w:ascii="Symbol" w:hAnsi="Symbol" w:hint="default"/>
      </w:rPr>
    </w:lvl>
    <w:lvl w:ilvl="2" w:tplc="7F16FA48" w:tentative="1">
      <w:start w:val="1"/>
      <w:numFmt w:val="bullet"/>
      <w:lvlText w:val=""/>
      <w:lvlJc w:val="left"/>
      <w:pPr>
        <w:tabs>
          <w:tab w:val="num" w:pos="2160"/>
        </w:tabs>
        <w:ind w:left="2160" w:hanging="360"/>
      </w:pPr>
      <w:rPr>
        <w:rFonts w:ascii="Symbol" w:hAnsi="Symbol" w:hint="default"/>
      </w:rPr>
    </w:lvl>
    <w:lvl w:ilvl="3" w:tplc="627A812E" w:tentative="1">
      <w:start w:val="1"/>
      <w:numFmt w:val="bullet"/>
      <w:lvlText w:val=""/>
      <w:lvlJc w:val="left"/>
      <w:pPr>
        <w:tabs>
          <w:tab w:val="num" w:pos="2880"/>
        </w:tabs>
        <w:ind w:left="2880" w:hanging="360"/>
      </w:pPr>
      <w:rPr>
        <w:rFonts w:ascii="Symbol" w:hAnsi="Symbol" w:hint="default"/>
      </w:rPr>
    </w:lvl>
    <w:lvl w:ilvl="4" w:tplc="584CBD86" w:tentative="1">
      <w:start w:val="1"/>
      <w:numFmt w:val="bullet"/>
      <w:lvlText w:val=""/>
      <w:lvlJc w:val="left"/>
      <w:pPr>
        <w:tabs>
          <w:tab w:val="num" w:pos="3600"/>
        </w:tabs>
        <w:ind w:left="3600" w:hanging="360"/>
      </w:pPr>
      <w:rPr>
        <w:rFonts w:ascii="Symbol" w:hAnsi="Symbol" w:hint="default"/>
      </w:rPr>
    </w:lvl>
    <w:lvl w:ilvl="5" w:tplc="509CEB44" w:tentative="1">
      <w:start w:val="1"/>
      <w:numFmt w:val="bullet"/>
      <w:lvlText w:val=""/>
      <w:lvlJc w:val="left"/>
      <w:pPr>
        <w:tabs>
          <w:tab w:val="num" w:pos="4320"/>
        </w:tabs>
        <w:ind w:left="4320" w:hanging="360"/>
      </w:pPr>
      <w:rPr>
        <w:rFonts w:ascii="Symbol" w:hAnsi="Symbol" w:hint="default"/>
      </w:rPr>
    </w:lvl>
    <w:lvl w:ilvl="6" w:tplc="1F9E3CDC" w:tentative="1">
      <w:start w:val="1"/>
      <w:numFmt w:val="bullet"/>
      <w:lvlText w:val=""/>
      <w:lvlJc w:val="left"/>
      <w:pPr>
        <w:tabs>
          <w:tab w:val="num" w:pos="5040"/>
        </w:tabs>
        <w:ind w:left="5040" w:hanging="360"/>
      </w:pPr>
      <w:rPr>
        <w:rFonts w:ascii="Symbol" w:hAnsi="Symbol" w:hint="default"/>
      </w:rPr>
    </w:lvl>
    <w:lvl w:ilvl="7" w:tplc="5590E554" w:tentative="1">
      <w:start w:val="1"/>
      <w:numFmt w:val="bullet"/>
      <w:lvlText w:val=""/>
      <w:lvlJc w:val="left"/>
      <w:pPr>
        <w:tabs>
          <w:tab w:val="num" w:pos="5760"/>
        </w:tabs>
        <w:ind w:left="5760" w:hanging="360"/>
      </w:pPr>
      <w:rPr>
        <w:rFonts w:ascii="Symbol" w:hAnsi="Symbol" w:hint="default"/>
      </w:rPr>
    </w:lvl>
    <w:lvl w:ilvl="8" w:tplc="6CB023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1F34D3"/>
    <w:multiLevelType w:val="hybridMultilevel"/>
    <w:tmpl w:val="7D92DEE2"/>
    <w:lvl w:ilvl="0" w:tplc="25C67D0E">
      <w:start w:val="1"/>
      <w:numFmt w:val="bullet"/>
      <w:lvlText w:val=""/>
      <w:lvlJc w:val="left"/>
      <w:pPr>
        <w:tabs>
          <w:tab w:val="num" w:pos="720"/>
        </w:tabs>
        <w:ind w:left="720" w:hanging="360"/>
      </w:pPr>
      <w:rPr>
        <w:rFonts w:ascii="Symbol" w:hAnsi="Symbol" w:hint="default"/>
      </w:rPr>
    </w:lvl>
    <w:lvl w:ilvl="1" w:tplc="E36A0392" w:tentative="1">
      <w:start w:val="1"/>
      <w:numFmt w:val="bullet"/>
      <w:lvlText w:val=""/>
      <w:lvlJc w:val="left"/>
      <w:pPr>
        <w:tabs>
          <w:tab w:val="num" w:pos="1440"/>
        </w:tabs>
        <w:ind w:left="1440" w:hanging="360"/>
      </w:pPr>
      <w:rPr>
        <w:rFonts w:ascii="Symbol" w:hAnsi="Symbol" w:hint="default"/>
      </w:rPr>
    </w:lvl>
    <w:lvl w:ilvl="2" w:tplc="639E3774" w:tentative="1">
      <w:start w:val="1"/>
      <w:numFmt w:val="bullet"/>
      <w:lvlText w:val=""/>
      <w:lvlJc w:val="left"/>
      <w:pPr>
        <w:tabs>
          <w:tab w:val="num" w:pos="2160"/>
        </w:tabs>
        <w:ind w:left="2160" w:hanging="360"/>
      </w:pPr>
      <w:rPr>
        <w:rFonts w:ascii="Symbol" w:hAnsi="Symbol" w:hint="default"/>
      </w:rPr>
    </w:lvl>
    <w:lvl w:ilvl="3" w:tplc="ACDAB264" w:tentative="1">
      <w:start w:val="1"/>
      <w:numFmt w:val="bullet"/>
      <w:lvlText w:val=""/>
      <w:lvlJc w:val="left"/>
      <w:pPr>
        <w:tabs>
          <w:tab w:val="num" w:pos="2880"/>
        </w:tabs>
        <w:ind w:left="2880" w:hanging="360"/>
      </w:pPr>
      <w:rPr>
        <w:rFonts w:ascii="Symbol" w:hAnsi="Symbol" w:hint="default"/>
      </w:rPr>
    </w:lvl>
    <w:lvl w:ilvl="4" w:tplc="50568682" w:tentative="1">
      <w:start w:val="1"/>
      <w:numFmt w:val="bullet"/>
      <w:lvlText w:val=""/>
      <w:lvlJc w:val="left"/>
      <w:pPr>
        <w:tabs>
          <w:tab w:val="num" w:pos="3600"/>
        </w:tabs>
        <w:ind w:left="3600" w:hanging="360"/>
      </w:pPr>
      <w:rPr>
        <w:rFonts w:ascii="Symbol" w:hAnsi="Symbol" w:hint="default"/>
      </w:rPr>
    </w:lvl>
    <w:lvl w:ilvl="5" w:tplc="AE00AD38" w:tentative="1">
      <w:start w:val="1"/>
      <w:numFmt w:val="bullet"/>
      <w:lvlText w:val=""/>
      <w:lvlJc w:val="left"/>
      <w:pPr>
        <w:tabs>
          <w:tab w:val="num" w:pos="4320"/>
        </w:tabs>
        <w:ind w:left="4320" w:hanging="360"/>
      </w:pPr>
      <w:rPr>
        <w:rFonts w:ascii="Symbol" w:hAnsi="Symbol" w:hint="default"/>
      </w:rPr>
    </w:lvl>
    <w:lvl w:ilvl="6" w:tplc="E6862D68" w:tentative="1">
      <w:start w:val="1"/>
      <w:numFmt w:val="bullet"/>
      <w:lvlText w:val=""/>
      <w:lvlJc w:val="left"/>
      <w:pPr>
        <w:tabs>
          <w:tab w:val="num" w:pos="5040"/>
        </w:tabs>
        <w:ind w:left="5040" w:hanging="360"/>
      </w:pPr>
      <w:rPr>
        <w:rFonts w:ascii="Symbol" w:hAnsi="Symbol" w:hint="default"/>
      </w:rPr>
    </w:lvl>
    <w:lvl w:ilvl="7" w:tplc="588666DA" w:tentative="1">
      <w:start w:val="1"/>
      <w:numFmt w:val="bullet"/>
      <w:lvlText w:val=""/>
      <w:lvlJc w:val="left"/>
      <w:pPr>
        <w:tabs>
          <w:tab w:val="num" w:pos="5760"/>
        </w:tabs>
        <w:ind w:left="5760" w:hanging="360"/>
      </w:pPr>
      <w:rPr>
        <w:rFonts w:ascii="Symbol" w:hAnsi="Symbol" w:hint="default"/>
      </w:rPr>
    </w:lvl>
    <w:lvl w:ilvl="8" w:tplc="1388CB6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BE8302D"/>
    <w:multiLevelType w:val="multilevel"/>
    <w:tmpl w:val="AFBC4856"/>
    <w:numStyleLink w:val="StyleBulleted"/>
  </w:abstractNum>
  <w:abstractNum w:abstractNumId="48"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7E0857C4"/>
    <w:multiLevelType w:val="hybridMultilevel"/>
    <w:tmpl w:val="6702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6"/>
  </w:num>
  <w:num w:numId="3">
    <w:abstractNumId w:val="14"/>
  </w:num>
  <w:num w:numId="4">
    <w:abstractNumId w:val="0"/>
  </w:num>
  <w:num w:numId="5">
    <w:abstractNumId w:val="43"/>
  </w:num>
  <w:num w:numId="6">
    <w:abstractNumId w:val="20"/>
  </w:num>
  <w:num w:numId="7">
    <w:abstractNumId w:val="25"/>
  </w:num>
  <w:num w:numId="8">
    <w:abstractNumId w:val="38"/>
  </w:num>
  <w:num w:numId="9">
    <w:abstractNumId w:val="28"/>
  </w:num>
  <w:num w:numId="10">
    <w:abstractNumId w:val="23"/>
  </w:num>
  <w:num w:numId="11">
    <w:abstractNumId w:val="51"/>
  </w:num>
  <w:num w:numId="12">
    <w:abstractNumId w:val="4"/>
  </w:num>
  <w:num w:numId="13">
    <w:abstractNumId w:val="35"/>
  </w:num>
  <w:num w:numId="14">
    <w:abstractNumId w:val="24"/>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num>
  <w:num w:numId="18">
    <w:abstractNumId w:val="44"/>
  </w:num>
  <w:num w:numId="19">
    <w:abstractNumId w:val="14"/>
  </w:num>
  <w:num w:numId="20">
    <w:abstractNumId w:val="48"/>
  </w:num>
  <w:num w:numId="21">
    <w:abstractNumId w:val="60"/>
  </w:num>
  <w:num w:numId="22">
    <w:abstractNumId w:val="53"/>
  </w:num>
  <w:num w:numId="23">
    <w:abstractNumId w:val="8"/>
  </w:num>
  <w:num w:numId="24">
    <w:abstractNumId w:val="32"/>
  </w:num>
  <w:num w:numId="25">
    <w:abstractNumId w:val="17"/>
  </w:num>
  <w:num w:numId="26">
    <w:abstractNumId w:val="33"/>
  </w:num>
  <w:num w:numId="27">
    <w:abstractNumId w:val="42"/>
  </w:num>
  <w:num w:numId="28">
    <w:abstractNumId w:val="31"/>
  </w:num>
  <w:num w:numId="29">
    <w:abstractNumId w:val="30"/>
  </w:num>
  <w:num w:numId="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58"/>
  </w:num>
  <w:num w:numId="34">
    <w:abstractNumId w:val="54"/>
  </w:num>
  <w:num w:numId="35">
    <w:abstractNumId w:val="37"/>
  </w:num>
  <w:num w:numId="36">
    <w:abstractNumId w:val="47"/>
  </w:num>
  <w:num w:numId="37">
    <w:abstractNumId w:val="27"/>
  </w:num>
  <w:num w:numId="38">
    <w:abstractNumId w:val="65"/>
  </w:num>
  <w:num w:numId="39">
    <w:abstractNumId w:val="14"/>
  </w:num>
  <w:num w:numId="40">
    <w:abstractNumId w:val="13"/>
  </w:num>
  <w:num w:numId="41">
    <w:abstractNumId w:val="55"/>
  </w:num>
  <w:num w:numId="42">
    <w:abstractNumId w:val="21"/>
  </w:num>
  <w:num w:numId="43">
    <w:abstractNumId w:val="52"/>
  </w:num>
  <w:num w:numId="44">
    <w:abstractNumId w:val="18"/>
  </w:num>
  <w:num w:numId="45">
    <w:abstractNumId w:val="40"/>
  </w:num>
  <w:num w:numId="46">
    <w:abstractNumId w:val="1"/>
  </w:num>
  <w:num w:numId="47">
    <w:abstractNumId w:val="9"/>
  </w:num>
  <w:num w:numId="48">
    <w:abstractNumId w:val="6"/>
  </w:num>
  <w:num w:numId="49">
    <w:abstractNumId w:val="11"/>
  </w:num>
  <w:num w:numId="50">
    <w:abstractNumId w:val="45"/>
  </w:num>
  <w:num w:numId="51">
    <w:abstractNumId w:val="19"/>
  </w:num>
  <w:num w:numId="52">
    <w:abstractNumId w:val="61"/>
  </w:num>
  <w:num w:numId="53">
    <w:abstractNumId w:val="50"/>
  </w:num>
  <w:num w:numId="54">
    <w:abstractNumId w:val="5"/>
  </w:num>
  <w:num w:numId="55">
    <w:abstractNumId w:val="10"/>
  </w:num>
  <w:num w:numId="56">
    <w:abstractNumId w:val="59"/>
  </w:num>
  <w:num w:numId="57">
    <w:abstractNumId w:val="10"/>
  </w:num>
  <w:num w:numId="58">
    <w:abstractNumId w:val="11"/>
  </w:num>
  <w:num w:numId="59">
    <w:abstractNumId w:val="3"/>
  </w:num>
  <w:num w:numId="60">
    <w:abstractNumId w:val="34"/>
  </w:num>
  <w:num w:numId="61">
    <w:abstractNumId w:val="22"/>
  </w:num>
  <w:num w:numId="62">
    <w:abstractNumId w:val="36"/>
  </w:num>
  <w:num w:numId="63">
    <w:abstractNumId w:val="62"/>
  </w:num>
  <w:num w:numId="64">
    <w:abstractNumId w:val="64"/>
  </w:num>
  <w:num w:numId="65">
    <w:abstractNumId w:val="26"/>
  </w:num>
  <w:num w:numId="66">
    <w:abstractNumId w:val="16"/>
  </w:num>
  <w:num w:numId="67">
    <w:abstractNumId w:val="29"/>
  </w:num>
  <w:num w:numId="68">
    <w:abstractNumId w:val="46"/>
  </w:num>
  <w:num w:numId="69">
    <w:abstractNumId w:val="7"/>
  </w:num>
  <w:num w:numId="70">
    <w:abstractNumId w:val="15"/>
  </w:num>
  <w:num w:numId="71">
    <w:abstractNumId w:val="41"/>
  </w:num>
  <w:num w:numId="72">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7B0"/>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8A"/>
    <w:rsid w:val="004D5944"/>
    <w:rsid w:val="004D691C"/>
    <w:rsid w:val="004D76AD"/>
    <w:rsid w:val="004D7E61"/>
    <w:rsid w:val="004E0BC8"/>
    <w:rsid w:val="004E0F6C"/>
    <w:rsid w:val="004E2AE9"/>
    <w:rsid w:val="004E315B"/>
    <w:rsid w:val="004E41C1"/>
    <w:rsid w:val="004E44DE"/>
    <w:rsid w:val="004E4AEB"/>
    <w:rsid w:val="004E4DA9"/>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2F59"/>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E9B"/>
    <w:rsid w:val="00687AF6"/>
    <w:rsid w:val="00690212"/>
    <w:rsid w:val="006909F9"/>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6A"/>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1FA0"/>
    <w:rsid w:val="00C82096"/>
    <w:rsid w:val="00C8323F"/>
    <w:rsid w:val="00C83434"/>
    <w:rsid w:val="00C834E2"/>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541"/>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A7E"/>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067"/>
    <w:rsid w:val="00F93208"/>
    <w:rsid w:val="00F9322C"/>
    <w:rsid w:val="00F93679"/>
    <w:rsid w:val="00F93C92"/>
    <w:rsid w:val="00F94C48"/>
    <w:rsid w:val="00F94D09"/>
    <w:rsid w:val="00F94FFC"/>
    <w:rsid w:val="00F969A7"/>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5.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3EQ6UJ4K66FU-4-34844</_dlc_DocId>
    <_dlc_DocIdUrl xmlns="df4eea7b-52db-4162-980b-b352f1b580a3">
      <Url>https://projects.qualcomm.com/sites/meridian/_layouts/15/DocIdRedir.aspx?ID=3EQ6UJ4K66FU-4-34844</Url>
      <Description>3EQ6UJ4K66FU-4-34844</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64B2492A-932F-4BAC-94B2-9DA18FD7A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6520</TotalTime>
  <Pages>13</Pages>
  <Words>6197</Words>
  <Characters>33283</Characters>
  <Application>Microsoft Office Word</Application>
  <DocSecurity>0</DocSecurity>
  <Lines>277</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39402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156</cp:revision>
  <cp:lastPrinted>2018-08-09T22:24:00Z</cp:lastPrinted>
  <dcterms:created xsi:type="dcterms:W3CDTF">2018-05-02T22:02:00Z</dcterms:created>
  <dcterms:modified xsi:type="dcterms:W3CDTF">2019-03-29T20:58:00Z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f5ec7329-a9f3-4c90-8c30-c187cb228074</vt:lpwstr>
  </property>
</Properties>
</file>